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559701B0"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320" w:type="dxa"/>
              <w:left w:w="360" w:type="dxa"/>
              <w:bottom w:w="320" w:type="dxa"/>
              <w:right w:w="360" w:type="dxa"/>
            </w:tcMar>
          </w:tcPr>
          <w:p w14:paraId="7150029C" w14:textId="77777777" w:rsidR="00932DC5" w:rsidRDefault="00AC0C20">
            <w:pPr>
              <w:spacing w:after="160"/>
            </w:pPr>
            <w:r>
              <w:rPr>
                <w:noProof/>
              </w:rPr>
              <w:drawing>
                <wp:inline distT="0" distB="0" distL="0" distR="0" wp14:anchorId="4625E8C9" wp14:editId="376052C4">
                  <wp:extent cx="1485900" cy="552450"/>
                  <wp:effectExtent l="0" t="0" r="0" b="0"/>
                  <wp:docPr id="1" name="IoD" descr="IoD" title="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85900" cy="552450"/>
                          </a:xfrm>
                          <a:prstGeom prst="rect">
                            <a:avLst/>
                          </a:prstGeom>
                        </pic:spPr>
                      </pic:pic>
                    </a:graphicData>
                  </a:graphic>
                </wp:inline>
              </w:drawing>
            </w:r>
          </w:p>
          <w:p w14:paraId="25810B4B" w14:textId="77777777" w:rsidR="00932DC5" w:rsidRPr="002B560F" w:rsidRDefault="00AC0C20">
            <w:pPr>
              <w:spacing w:after="60"/>
              <w:rPr>
                <w:b/>
                <w:bCs/>
              </w:rPr>
            </w:pPr>
            <w:r w:rsidRPr="002B560F">
              <w:rPr>
                <w:rFonts w:ascii="Arial" w:eastAsia="Arial" w:hAnsi="Arial" w:cs="Arial"/>
                <w:b/>
                <w:bCs/>
                <w:color w:val="FFFFFF"/>
                <w:sz w:val="22"/>
                <w:szCs w:val="22"/>
              </w:rPr>
              <w:t>Tool 3.1 — IoD AI Governance Toolkit</w:t>
            </w:r>
          </w:p>
          <w:p w14:paraId="629AF005" w14:textId="77777777" w:rsidR="00932DC5" w:rsidRDefault="00AC0C20">
            <w:pPr>
              <w:spacing w:after="120"/>
            </w:pPr>
            <w:r>
              <w:rPr>
                <w:rFonts w:ascii="Arial" w:eastAsia="Arial" w:hAnsi="Arial" w:cs="Arial"/>
                <w:b/>
                <w:bCs/>
                <w:color w:val="FFFFFF"/>
                <w:sz w:val="40"/>
                <w:szCs w:val="40"/>
              </w:rPr>
              <w:t>Facilitation &amp; Implementation Guide</w:t>
            </w:r>
          </w:p>
          <w:p w14:paraId="6CF6DD5C" w14:textId="6DA1C075" w:rsidR="00932DC5" w:rsidRDefault="00AC0C20">
            <w:pPr>
              <w:spacing w:after="80"/>
            </w:pPr>
            <w:r>
              <w:rPr>
                <w:rFonts w:ascii="Arial" w:eastAsia="Arial" w:hAnsi="Arial" w:cs="Arial"/>
                <w:color w:val="FFFFFF"/>
                <w:sz w:val="26"/>
                <w:szCs w:val="26"/>
              </w:rPr>
              <w:t xml:space="preserve">Capability &amp; Readiness </w:t>
            </w:r>
            <w:r w:rsidR="002B560F">
              <w:rPr>
                <w:rFonts w:ascii="Arial" w:eastAsia="Arial" w:hAnsi="Arial" w:cs="Arial"/>
                <w:color w:val="FFFFFF"/>
                <w:sz w:val="26"/>
                <w:szCs w:val="26"/>
              </w:rPr>
              <w:t>Audit · Companion</w:t>
            </w:r>
            <w:r>
              <w:rPr>
                <w:rFonts w:ascii="Arial" w:eastAsia="Arial" w:hAnsi="Arial" w:cs="Arial"/>
                <w:color w:val="FFFFFF"/>
                <w:sz w:val="26"/>
                <w:szCs w:val="26"/>
              </w:rPr>
              <w:t xml:space="preserve"> Document</w:t>
            </w:r>
          </w:p>
        </w:tc>
      </w:tr>
    </w:tbl>
    <w:p w14:paraId="1D28B31A" w14:textId="77777777" w:rsidR="00932DC5" w:rsidRDefault="00932DC5">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677534CA"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3D6BB115" w14:textId="77777777" w:rsidR="00932DC5" w:rsidRDefault="00AC0C20">
            <w:r>
              <w:rPr>
                <w:rFonts w:ascii="Arial" w:eastAsia="Arial" w:hAnsi="Arial" w:cs="Arial"/>
                <w:b/>
                <w:bCs/>
                <w:color w:val="5B2D8E"/>
                <w:sz w:val="21"/>
                <w:szCs w:val="21"/>
              </w:rPr>
              <w:t>About this guide</w:t>
            </w:r>
          </w:p>
        </w:tc>
      </w:tr>
    </w:tbl>
    <w:p w14:paraId="16771223" w14:textId="77777777" w:rsidR="00932DC5" w:rsidRDefault="00932DC5">
      <w:pPr>
        <w:spacing w:before="80"/>
      </w:pPr>
    </w:p>
    <w:p w14:paraId="70FF79A4" w14:textId="77777777" w:rsidR="00932DC5" w:rsidRDefault="00AC0C20">
      <w:pPr>
        <w:spacing w:before="80" w:after="80"/>
      </w:pPr>
      <w:r>
        <w:rPr>
          <w:rFonts w:ascii="Arial" w:eastAsia="Arial" w:hAnsi="Arial" w:cs="Arial"/>
          <w:color w:val="1A1A1A"/>
          <w:sz w:val="21"/>
          <w:szCs w:val="21"/>
        </w:rPr>
        <w:t>A governance audit only delivers value if the session is well-run and the findings are acted on. This guide covers three things: how to run the audit session effectively, how to measure whether progress is being made, and how to embed follow-through in your organisation.</w:t>
      </w:r>
    </w:p>
    <w:p w14:paraId="13EA79DF" w14:textId="77777777" w:rsidR="00932DC5" w:rsidRDefault="00932DC5">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5C7149A9"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25522C11" w14:textId="6921FBC8" w:rsidR="00932DC5" w:rsidRDefault="00AC0C20">
            <w:r>
              <w:rPr>
                <w:rFonts w:ascii="Arial" w:eastAsia="Arial" w:hAnsi="Arial" w:cs="Arial"/>
                <w:b/>
                <w:bCs/>
                <w:color w:val="FFFFFF"/>
                <w:sz w:val="22"/>
                <w:szCs w:val="22"/>
              </w:rPr>
              <w:t>Section 1</w:t>
            </w:r>
            <w:r w:rsidR="005767EF">
              <w:rPr>
                <w:rFonts w:ascii="Arial" w:eastAsia="Arial" w:hAnsi="Arial" w:cs="Arial"/>
                <w:b/>
                <w:bCs/>
                <w:color w:val="FFFFFF"/>
                <w:sz w:val="22"/>
                <w:szCs w:val="22"/>
              </w:rPr>
              <w:t>:</w:t>
            </w:r>
            <w:r>
              <w:rPr>
                <w:rFonts w:ascii="Arial" w:eastAsia="Arial" w:hAnsi="Arial" w:cs="Arial"/>
                <w:b/>
                <w:bCs/>
                <w:color w:val="FFFFFF"/>
                <w:sz w:val="22"/>
                <w:szCs w:val="22"/>
              </w:rPr>
              <w:t xml:space="preserve"> Running the Audit Session</w:t>
            </w:r>
          </w:p>
        </w:tc>
      </w:tr>
    </w:tbl>
    <w:p w14:paraId="0123CF29" w14:textId="77777777" w:rsidR="00932DC5" w:rsidRDefault="00932DC5">
      <w:pPr>
        <w:spacing w:before="160"/>
      </w:pPr>
    </w:p>
    <w:p w14:paraId="55CF078C" w14:textId="77777777" w:rsidR="00932DC5" w:rsidRDefault="00AC0C20">
      <w:pPr>
        <w:pBdr>
          <w:bottom w:val="single" w:sz="6" w:space="0" w:color="5B2D8E"/>
        </w:pBdr>
        <w:spacing w:before="280" w:after="120"/>
      </w:pPr>
      <w:r>
        <w:rPr>
          <w:rFonts w:ascii="Arial" w:eastAsia="Arial" w:hAnsi="Arial" w:cs="Arial"/>
          <w:b/>
          <w:bCs/>
          <w:color w:val="5B2D8E"/>
          <w:sz w:val="24"/>
          <w:szCs w:val="24"/>
        </w:rPr>
        <w:t>Before the Session</w:t>
      </w:r>
    </w:p>
    <w:p w14:paraId="026173C9" w14:textId="77777777" w:rsidR="00932DC5" w:rsidRDefault="00932DC5">
      <w:pPr>
        <w:spacing w:before="80"/>
      </w:pPr>
    </w:p>
    <w:p w14:paraId="6FA39080" w14:textId="77777777" w:rsidR="00932DC5" w:rsidRDefault="00AC0C20">
      <w:pPr>
        <w:spacing w:before="80" w:after="80"/>
      </w:pPr>
      <w:r>
        <w:rPr>
          <w:rFonts w:ascii="Arial" w:eastAsia="Arial" w:hAnsi="Arial" w:cs="Arial"/>
          <w:color w:val="1A1A1A"/>
          <w:sz w:val="21"/>
          <w:szCs w:val="21"/>
        </w:rPr>
        <w:t>The audit works best when participants are not seeing the questions for the first time on the day. Share the Audit Template in advance with a brief note explaining the purpose: honest diagnosis, not performance review.</w:t>
      </w:r>
    </w:p>
    <w:p w14:paraId="70EB7E54" w14:textId="77777777" w:rsidR="00932DC5" w:rsidRDefault="00932DC5">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932DC5" w14:paraId="005C0A4D" w14:textId="77777777">
        <w:tc>
          <w:tcPr>
            <w:tcW w:w="2600" w:type="dxa"/>
            <w:tcBorders>
              <w:top w:val="single" w:sz="4" w:space="0" w:color="CCCCCC"/>
              <w:left w:val="single" w:sz="4" w:space="0" w:color="CCCCCC"/>
              <w:bottom w:val="single" w:sz="4" w:space="0" w:color="CCCCCC"/>
              <w:right w:val="single" w:sz="4" w:space="0" w:color="CCCCCC"/>
            </w:tcBorders>
            <w:shd w:val="clear" w:color="auto" w:fill="CDC1F1"/>
            <w:tcMar>
              <w:top w:w="100" w:type="dxa"/>
              <w:left w:w="120" w:type="dxa"/>
              <w:bottom w:w="100" w:type="dxa"/>
              <w:right w:w="120" w:type="dxa"/>
            </w:tcMar>
          </w:tcPr>
          <w:p w14:paraId="155A48CA" w14:textId="77777777" w:rsidR="00932DC5" w:rsidRDefault="00AC0C20">
            <w:r>
              <w:rPr>
                <w:rFonts w:ascii="Arial" w:eastAsia="Arial" w:hAnsi="Arial" w:cs="Arial"/>
                <w:b/>
                <w:bCs/>
                <w:color w:val="5B2D8E"/>
                <w:sz w:val="19"/>
                <w:szCs w:val="19"/>
              </w:rPr>
              <w:t>Participants</w:t>
            </w:r>
          </w:p>
        </w:tc>
        <w:tc>
          <w:tcPr>
            <w:tcW w:w="642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43A732FE" w14:textId="3C4058BA" w:rsidR="00932DC5" w:rsidRDefault="00AC0C20">
            <w:r>
              <w:rPr>
                <w:rFonts w:ascii="Arial" w:eastAsia="Arial" w:hAnsi="Arial" w:cs="Arial"/>
                <w:color w:val="1A1A1A"/>
                <w:sz w:val="19"/>
                <w:szCs w:val="19"/>
              </w:rPr>
              <w:t>Leadership team including executive and non-executive directors where both are present. Minimum 3, ideal 4–8.</w:t>
            </w:r>
          </w:p>
        </w:tc>
      </w:tr>
      <w:tr w:rsidR="00932DC5" w14:paraId="078A4BFF" w14:textId="77777777">
        <w:tc>
          <w:tcPr>
            <w:tcW w:w="2600" w:type="dxa"/>
            <w:tcBorders>
              <w:top w:val="single" w:sz="4" w:space="0" w:color="CCCCCC"/>
              <w:left w:val="single" w:sz="4" w:space="0" w:color="CCCCCC"/>
              <w:bottom w:val="single" w:sz="4" w:space="0" w:color="CCCCCC"/>
              <w:right w:val="single" w:sz="4" w:space="0" w:color="CCCCCC"/>
            </w:tcBorders>
            <w:shd w:val="clear" w:color="auto" w:fill="CDC1F1"/>
            <w:tcMar>
              <w:top w:w="100" w:type="dxa"/>
              <w:left w:w="120" w:type="dxa"/>
              <w:bottom w:w="100" w:type="dxa"/>
              <w:right w:w="120" w:type="dxa"/>
            </w:tcMar>
          </w:tcPr>
          <w:p w14:paraId="6603DF26" w14:textId="77777777" w:rsidR="00932DC5" w:rsidRDefault="00AC0C20">
            <w:r>
              <w:rPr>
                <w:rFonts w:ascii="Arial" w:eastAsia="Arial" w:hAnsi="Arial" w:cs="Arial"/>
                <w:b/>
                <w:bCs/>
                <w:color w:val="5B2D8E"/>
                <w:sz w:val="19"/>
                <w:szCs w:val="19"/>
              </w:rPr>
              <w:t>Time required</w:t>
            </w:r>
          </w:p>
        </w:tc>
        <w:tc>
          <w:tcPr>
            <w:tcW w:w="642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D9490F8" w14:textId="77777777" w:rsidR="00932DC5" w:rsidRDefault="00AC0C20">
            <w:r>
              <w:rPr>
                <w:rFonts w:ascii="Arial" w:eastAsia="Arial" w:hAnsi="Arial" w:cs="Arial"/>
                <w:color w:val="1A1A1A"/>
                <w:sz w:val="19"/>
                <w:szCs w:val="19"/>
              </w:rPr>
              <w:t>2–3 hours for first session. 60–90 minutes for subsequent quarterly reviews.</w:t>
            </w:r>
          </w:p>
        </w:tc>
      </w:tr>
      <w:tr w:rsidR="00932DC5" w14:paraId="11D761C7" w14:textId="77777777">
        <w:tc>
          <w:tcPr>
            <w:tcW w:w="2600" w:type="dxa"/>
            <w:tcBorders>
              <w:top w:val="single" w:sz="4" w:space="0" w:color="CCCCCC"/>
              <w:left w:val="single" w:sz="4" w:space="0" w:color="CCCCCC"/>
              <w:bottom w:val="single" w:sz="4" w:space="0" w:color="CCCCCC"/>
              <w:right w:val="single" w:sz="4" w:space="0" w:color="CCCCCC"/>
            </w:tcBorders>
            <w:shd w:val="clear" w:color="auto" w:fill="CDC1F1"/>
            <w:tcMar>
              <w:top w:w="100" w:type="dxa"/>
              <w:left w:w="120" w:type="dxa"/>
              <w:bottom w:w="100" w:type="dxa"/>
              <w:right w:w="120" w:type="dxa"/>
            </w:tcMar>
          </w:tcPr>
          <w:p w14:paraId="5F921734" w14:textId="77777777" w:rsidR="00932DC5" w:rsidRDefault="00AC0C20">
            <w:r>
              <w:rPr>
                <w:rFonts w:ascii="Arial" w:eastAsia="Arial" w:hAnsi="Arial" w:cs="Arial"/>
                <w:b/>
                <w:bCs/>
                <w:color w:val="5B2D8E"/>
                <w:sz w:val="19"/>
                <w:szCs w:val="19"/>
              </w:rPr>
              <w:t>Format</w:t>
            </w:r>
          </w:p>
        </w:tc>
        <w:tc>
          <w:tcPr>
            <w:tcW w:w="642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02910E1F" w14:textId="77777777" w:rsidR="00932DC5" w:rsidRDefault="00AC0C20">
            <w:r>
              <w:rPr>
                <w:rFonts w:ascii="Arial" w:eastAsia="Arial" w:hAnsi="Arial" w:cs="Arial"/>
                <w:color w:val="1A1A1A"/>
                <w:sz w:val="19"/>
                <w:szCs w:val="19"/>
              </w:rPr>
              <w:t>Facilitated group discussion. Not individual survey completion. Disagreement between participants is useful data.</w:t>
            </w:r>
          </w:p>
        </w:tc>
      </w:tr>
      <w:tr w:rsidR="00932DC5" w14:paraId="688D5282" w14:textId="77777777">
        <w:tc>
          <w:tcPr>
            <w:tcW w:w="2600" w:type="dxa"/>
            <w:tcBorders>
              <w:top w:val="single" w:sz="4" w:space="0" w:color="CCCCCC"/>
              <w:left w:val="single" w:sz="4" w:space="0" w:color="CCCCCC"/>
              <w:bottom w:val="single" w:sz="4" w:space="0" w:color="CCCCCC"/>
              <w:right w:val="single" w:sz="4" w:space="0" w:color="CCCCCC"/>
            </w:tcBorders>
            <w:shd w:val="clear" w:color="auto" w:fill="CDC1F1"/>
            <w:tcMar>
              <w:top w:w="100" w:type="dxa"/>
              <w:left w:w="120" w:type="dxa"/>
              <w:bottom w:w="100" w:type="dxa"/>
              <w:right w:w="120" w:type="dxa"/>
            </w:tcMar>
          </w:tcPr>
          <w:p w14:paraId="0ECED0B6" w14:textId="77777777" w:rsidR="00932DC5" w:rsidRDefault="00AC0C20">
            <w:r>
              <w:rPr>
                <w:rFonts w:ascii="Arial" w:eastAsia="Arial" w:hAnsi="Arial" w:cs="Arial"/>
                <w:b/>
                <w:bCs/>
                <w:color w:val="5B2D8E"/>
                <w:sz w:val="19"/>
                <w:szCs w:val="19"/>
              </w:rPr>
              <w:t>Materials</w:t>
            </w:r>
          </w:p>
        </w:tc>
        <w:tc>
          <w:tcPr>
            <w:tcW w:w="642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F299030" w14:textId="77777777" w:rsidR="00932DC5" w:rsidRDefault="00AC0C20">
            <w:r>
              <w:rPr>
                <w:rFonts w:ascii="Arial" w:eastAsia="Arial" w:hAnsi="Arial" w:cs="Arial"/>
                <w:color w:val="1A1A1A"/>
                <w:sz w:val="19"/>
                <w:szCs w:val="19"/>
              </w:rPr>
              <w:t>Audit Template (one copy per participant or shared screen). Capability &amp; Readiness Tracker (Excel) for score entry.</w:t>
            </w:r>
          </w:p>
        </w:tc>
      </w:tr>
      <w:tr w:rsidR="00932DC5" w14:paraId="5DE3D443" w14:textId="77777777">
        <w:tc>
          <w:tcPr>
            <w:tcW w:w="2600" w:type="dxa"/>
            <w:tcBorders>
              <w:top w:val="single" w:sz="4" w:space="0" w:color="CCCCCC"/>
              <w:left w:val="single" w:sz="4" w:space="0" w:color="CCCCCC"/>
              <w:bottom w:val="single" w:sz="4" w:space="0" w:color="CCCCCC"/>
              <w:right w:val="single" w:sz="4" w:space="0" w:color="CCCCCC"/>
            </w:tcBorders>
            <w:shd w:val="clear" w:color="auto" w:fill="CDC1F1"/>
            <w:tcMar>
              <w:top w:w="100" w:type="dxa"/>
              <w:left w:w="120" w:type="dxa"/>
              <w:bottom w:w="100" w:type="dxa"/>
              <w:right w:w="120" w:type="dxa"/>
            </w:tcMar>
          </w:tcPr>
          <w:p w14:paraId="10A33399" w14:textId="77777777" w:rsidR="00932DC5" w:rsidRDefault="00AC0C20">
            <w:r>
              <w:rPr>
                <w:rFonts w:ascii="Arial" w:eastAsia="Arial" w:hAnsi="Arial" w:cs="Arial"/>
                <w:b/>
                <w:bCs/>
                <w:color w:val="5B2D8E"/>
                <w:sz w:val="19"/>
                <w:szCs w:val="19"/>
              </w:rPr>
              <w:t>Pre-work</w:t>
            </w:r>
          </w:p>
        </w:tc>
        <w:tc>
          <w:tcPr>
            <w:tcW w:w="642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FFF3D69" w14:textId="77777777" w:rsidR="00932DC5" w:rsidRDefault="00AC0C20">
            <w:r>
              <w:rPr>
                <w:rFonts w:ascii="Arial" w:eastAsia="Arial" w:hAnsi="Arial" w:cs="Arial"/>
                <w:color w:val="1A1A1A"/>
                <w:sz w:val="19"/>
                <w:szCs w:val="19"/>
              </w:rPr>
              <w:t>Ask participants to note one AI tool used in the organisation in the last month, and one AI governance question they cannot currently answer.</w:t>
            </w:r>
          </w:p>
        </w:tc>
      </w:tr>
    </w:tbl>
    <w:p w14:paraId="0852F67E" w14:textId="77777777" w:rsidR="00932DC5" w:rsidRDefault="00932DC5">
      <w:pPr>
        <w:spacing w:before="240"/>
      </w:pPr>
    </w:p>
    <w:p w14:paraId="71C705AE" w14:textId="77777777" w:rsidR="00932DC5" w:rsidRDefault="00AC0C20">
      <w:pPr>
        <w:pBdr>
          <w:bottom w:val="single" w:sz="6" w:space="0" w:color="5B2D8E"/>
        </w:pBdr>
        <w:spacing w:before="280" w:after="120"/>
      </w:pPr>
      <w:r>
        <w:rPr>
          <w:rFonts w:ascii="Arial" w:eastAsia="Arial" w:hAnsi="Arial" w:cs="Arial"/>
          <w:b/>
          <w:bCs/>
          <w:color w:val="5B2D8E"/>
          <w:sz w:val="24"/>
          <w:szCs w:val="24"/>
        </w:rPr>
        <w:t>Facilitating the Session</w:t>
      </w:r>
    </w:p>
    <w:p w14:paraId="7B31D01B" w14:textId="77777777" w:rsidR="00932DC5" w:rsidRDefault="00932DC5">
      <w:pPr>
        <w:spacing w:before="80"/>
      </w:pPr>
    </w:p>
    <w:p w14:paraId="41098B3A" w14:textId="235625CC" w:rsidR="00932DC5" w:rsidRDefault="00AC0C20">
      <w:pPr>
        <w:spacing w:before="80" w:after="80"/>
      </w:pPr>
      <w:r>
        <w:rPr>
          <w:rFonts w:ascii="Arial" w:eastAsia="Arial" w:hAnsi="Arial" w:cs="Arial"/>
          <w:color w:val="1A1A1A"/>
          <w:sz w:val="21"/>
          <w:szCs w:val="21"/>
        </w:rPr>
        <w:t>Open by reading the scoring guide aloud and explaining the "Sometimes" principle: if the governance behaviour depends on who is in the room rather than an embedded structure, the score is "Sometimes" and that is a gap, not a partial credit.</w:t>
      </w:r>
    </w:p>
    <w:p w14:paraId="262F0DCF" w14:textId="77777777" w:rsidR="00932DC5" w:rsidRDefault="00932DC5">
      <w:pPr>
        <w:spacing w:before="80"/>
      </w:pPr>
    </w:p>
    <w:p w14:paraId="76317A97" w14:textId="77777777" w:rsidR="00932DC5" w:rsidRDefault="00AC0C20">
      <w:pPr>
        <w:spacing w:before="80" w:after="80"/>
      </w:pPr>
      <w:r>
        <w:rPr>
          <w:rFonts w:ascii="Arial" w:eastAsia="Arial" w:hAnsi="Arial" w:cs="Arial"/>
          <w:color w:val="1A1A1A"/>
          <w:sz w:val="21"/>
          <w:szCs w:val="21"/>
        </w:rPr>
        <w:t>Work through Track 1 before Track 2. Individual director literacy comes before organisational structures in the maturity sequence. A director who cannot describe what Article 4 requires is not in a position to evaluate whether the organisation’s policy meets it.</w:t>
      </w:r>
    </w:p>
    <w:p w14:paraId="6338DC21" w14:textId="77777777" w:rsidR="00932DC5" w:rsidRDefault="00932DC5">
      <w:pPr>
        <w:spacing w:before="80"/>
      </w:pPr>
    </w:p>
    <w:p w14:paraId="1761BFC6" w14:textId="7FC42D67" w:rsidR="00932DC5" w:rsidRDefault="00AC0C20">
      <w:pPr>
        <w:spacing w:before="80" w:after="80"/>
      </w:pPr>
      <w:r>
        <w:rPr>
          <w:rFonts w:ascii="Arial" w:eastAsia="Arial" w:hAnsi="Arial" w:cs="Arial"/>
          <w:color w:val="1A1A1A"/>
          <w:sz w:val="21"/>
          <w:szCs w:val="21"/>
        </w:rPr>
        <w:t>For each question, invite all participants to give their answer before agreeing a score. If directors give different answers</w:t>
      </w:r>
      <w:r w:rsidR="002B560F">
        <w:rPr>
          <w:rFonts w:ascii="Arial" w:eastAsia="Arial" w:hAnsi="Arial" w:cs="Arial"/>
          <w:color w:val="1A1A1A"/>
          <w:sz w:val="21"/>
          <w:szCs w:val="21"/>
        </w:rPr>
        <w:t>,</w:t>
      </w:r>
      <w:r>
        <w:rPr>
          <w:rFonts w:ascii="Arial" w:eastAsia="Arial" w:hAnsi="Arial" w:cs="Arial"/>
          <w:color w:val="1A1A1A"/>
          <w:sz w:val="21"/>
          <w:szCs w:val="21"/>
        </w:rPr>
        <w:t xml:space="preserve"> particularly to "Can you name who is accountable for AI governance?"</w:t>
      </w:r>
      <w:r w:rsidR="002B560F">
        <w:rPr>
          <w:rFonts w:ascii="Arial" w:eastAsia="Arial" w:hAnsi="Arial" w:cs="Arial"/>
          <w:color w:val="1A1A1A"/>
          <w:sz w:val="21"/>
          <w:szCs w:val="21"/>
        </w:rPr>
        <w:t xml:space="preserve">, </w:t>
      </w:r>
      <w:r>
        <w:rPr>
          <w:rFonts w:ascii="Arial" w:eastAsia="Arial" w:hAnsi="Arial" w:cs="Arial"/>
          <w:color w:val="1A1A1A"/>
          <w:sz w:val="21"/>
          <w:szCs w:val="21"/>
        </w:rPr>
        <w:t>do not resolve the disagreement by splitting the difference. The divergence is the finding.</w:t>
      </w:r>
    </w:p>
    <w:p w14:paraId="1C06C3FB" w14:textId="77777777" w:rsidR="00932DC5" w:rsidRDefault="00932DC5">
      <w:pPr>
        <w:spacing w:before="80"/>
      </w:pPr>
    </w:p>
    <w:p w14:paraId="4A993EBD" w14:textId="0103FD26" w:rsidR="00932DC5" w:rsidRDefault="00AC0C20">
      <w:pPr>
        <w:spacing w:before="80" w:after="80"/>
      </w:pPr>
      <w:r>
        <w:rPr>
          <w:rFonts w:ascii="Arial" w:eastAsia="Arial" w:hAnsi="Arial" w:cs="Arial"/>
          <w:color w:val="1A1A1A"/>
          <w:sz w:val="21"/>
          <w:szCs w:val="21"/>
        </w:rPr>
        <w:t>Where a question asks for a named document, a named person, or a recent date and participants cannot produce one</w:t>
      </w:r>
      <w:r w:rsidR="002B560F">
        <w:rPr>
          <w:rFonts w:ascii="Arial" w:eastAsia="Arial" w:hAnsi="Arial" w:cs="Arial"/>
          <w:color w:val="1A1A1A"/>
          <w:sz w:val="21"/>
          <w:szCs w:val="21"/>
        </w:rPr>
        <w:t>,</w:t>
      </w:r>
      <w:r>
        <w:rPr>
          <w:rFonts w:ascii="Arial" w:eastAsia="Arial" w:hAnsi="Arial" w:cs="Arial"/>
          <w:color w:val="1A1A1A"/>
          <w:sz w:val="21"/>
          <w:szCs w:val="21"/>
        </w:rPr>
        <w:t xml:space="preserve"> record that directly. Absence of an artefact is a governance finding.</w:t>
      </w:r>
    </w:p>
    <w:p w14:paraId="7408A83B" w14:textId="77777777" w:rsidR="00932DC5" w:rsidRDefault="00932DC5">
      <w:pPr>
        <w:spacing w:before="240"/>
      </w:pPr>
    </w:p>
    <w:p w14:paraId="0B2ADBE5" w14:textId="77777777" w:rsidR="00932DC5" w:rsidRDefault="00AC0C20">
      <w:pPr>
        <w:pBdr>
          <w:bottom w:val="single" w:sz="6" w:space="0" w:color="5B2D8E"/>
        </w:pBdr>
        <w:spacing w:before="280" w:after="120"/>
      </w:pPr>
      <w:r>
        <w:rPr>
          <w:rFonts w:ascii="Arial" w:eastAsia="Arial" w:hAnsi="Arial" w:cs="Arial"/>
          <w:b/>
          <w:bCs/>
          <w:color w:val="5B2D8E"/>
          <w:sz w:val="24"/>
          <w:szCs w:val="24"/>
        </w:rPr>
        <w:t>After the Session</w:t>
      </w:r>
    </w:p>
    <w:p w14:paraId="0642886F" w14:textId="77777777" w:rsidR="00932DC5" w:rsidRDefault="00932DC5">
      <w:pPr>
        <w:spacing w:before="80"/>
      </w:pPr>
    </w:p>
    <w:p w14:paraId="4178AC31" w14:textId="77777777" w:rsidR="00932DC5" w:rsidRDefault="00AC0C20">
      <w:pPr>
        <w:spacing w:before="80" w:after="80"/>
      </w:pPr>
      <w:r>
        <w:rPr>
          <w:rFonts w:ascii="Arial" w:eastAsia="Arial" w:hAnsi="Arial" w:cs="Arial"/>
          <w:color w:val="1A1A1A"/>
          <w:sz w:val="21"/>
          <w:szCs w:val="21"/>
        </w:rPr>
        <w:t>Before closing, agree:</w:t>
      </w:r>
    </w:p>
    <w:p w14:paraId="4D72B189" w14:textId="31861A49" w:rsidR="00932DC5" w:rsidRDefault="00AC0C20">
      <w:pPr>
        <w:pStyle w:val="ListParagraph"/>
        <w:numPr>
          <w:ilvl w:val="0"/>
          <w:numId w:val="2"/>
        </w:numPr>
        <w:spacing w:before="40" w:after="40"/>
      </w:pPr>
      <w:r>
        <w:rPr>
          <w:rFonts w:ascii="Arial" w:eastAsia="Arial" w:hAnsi="Arial" w:cs="Arial"/>
          <w:color w:val="1A1A1A"/>
          <w:sz w:val="21"/>
          <w:szCs w:val="21"/>
        </w:rPr>
        <w:t>The top three priority gaps</w:t>
      </w:r>
      <w:r w:rsidR="002B560F">
        <w:rPr>
          <w:rFonts w:ascii="Arial" w:eastAsia="Arial" w:hAnsi="Arial" w:cs="Arial"/>
          <w:color w:val="1A1A1A"/>
          <w:sz w:val="21"/>
          <w:szCs w:val="21"/>
        </w:rPr>
        <w:t xml:space="preserve"> -</w:t>
      </w:r>
      <w:r>
        <w:rPr>
          <w:rFonts w:ascii="Arial" w:eastAsia="Arial" w:hAnsi="Arial" w:cs="Arial"/>
          <w:color w:val="1A1A1A"/>
          <w:sz w:val="21"/>
          <w:szCs w:val="21"/>
        </w:rPr>
        <w:t xml:space="preserve"> highest-impact domains with the lowest maturity scores.</w:t>
      </w:r>
    </w:p>
    <w:p w14:paraId="4411B786" w14:textId="77777777" w:rsidR="00932DC5" w:rsidRDefault="00AC0C20">
      <w:pPr>
        <w:pStyle w:val="ListParagraph"/>
        <w:numPr>
          <w:ilvl w:val="0"/>
          <w:numId w:val="2"/>
        </w:numPr>
        <w:spacing w:before="40" w:after="40"/>
      </w:pPr>
      <w:r>
        <w:rPr>
          <w:rFonts w:ascii="Arial" w:eastAsia="Arial" w:hAnsi="Arial" w:cs="Arial"/>
          <w:color w:val="1A1A1A"/>
          <w:sz w:val="21"/>
          <w:szCs w:val="21"/>
        </w:rPr>
        <w:t>A named owner for each priority action. A specific individual, not a committee.</w:t>
      </w:r>
    </w:p>
    <w:p w14:paraId="76BA78F3" w14:textId="77777777" w:rsidR="00932DC5" w:rsidRDefault="00AC0C20">
      <w:pPr>
        <w:pStyle w:val="ListParagraph"/>
        <w:numPr>
          <w:ilvl w:val="0"/>
          <w:numId w:val="2"/>
        </w:numPr>
        <w:spacing w:before="40" w:after="40"/>
      </w:pPr>
      <w:r>
        <w:rPr>
          <w:rFonts w:ascii="Arial" w:eastAsia="Arial" w:hAnsi="Arial" w:cs="Arial"/>
          <w:color w:val="1A1A1A"/>
          <w:sz w:val="21"/>
          <w:szCs w:val="21"/>
        </w:rPr>
        <w:t>A four-week deadline for the first concrete action on each gap.</w:t>
      </w:r>
    </w:p>
    <w:p w14:paraId="6ABF0A58" w14:textId="77777777" w:rsidR="00932DC5" w:rsidRDefault="00AC0C20">
      <w:pPr>
        <w:pStyle w:val="ListParagraph"/>
        <w:numPr>
          <w:ilvl w:val="0"/>
          <w:numId w:val="2"/>
        </w:numPr>
        <w:spacing w:before="40" w:after="40"/>
      </w:pPr>
      <w:r>
        <w:rPr>
          <w:rFonts w:ascii="Arial" w:eastAsia="Arial" w:hAnsi="Arial" w:cs="Arial"/>
          <w:color w:val="1A1A1A"/>
          <w:sz w:val="21"/>
          <w:szCs w:val="21"/>
        </w:rPr>
        <w:t>The date of the next review session.</w:t>
      </w:r>
    </w:p>
    <w:p w14:paraId="3DFCCCC7" w14:textId="77777777" w:rsidR="00932DC5" w:rsidRDefault="00932DC5">
      <w:pPr>
        <w:spacing w:before="80"/>
      </w:pPr>
    </w:p>
    <w:p w14:paraId="2648BCF8" w14:textId="77777777" w:rsidR="00932DC5" w:rsidRDefault="00AC0C20">
      <w:pPr>
        <w:spacing w:before="80" w:after="80"/>
      </w:pPr>
      <w:r>
        <w:rPr>
          <w:rFonts w:ascii="Arial" w:eastAsia="Arial" w:hAnsi="Arial" w:cs="Arial"/>
          <w:color w:val="1A1A1A"/>
          <w:sz w:val="21"/>
          <w:szCs w:val="21"/>
        </w:rPr>
        <w:t>Transfer scores to the Capability &amp; Readiness Tracker (Excel). The tracker calculates your maturity stage per domain, generates a gap map, and produces the reporting statement for your next board meeting.</w:t>
      </w:r>
    </w:p>
    <w:p w14:paraId="4F86454B" w14:textId="77777777" w:rsidR="00932DC5" w:rsidRDefault="00932DC5">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128F060E"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6D1D27DC" w14:textId="0DDB4764" w:rsidR="00932DC5" w:rsidRDefault="00AC0C20">
            <w:r>
              <w:rPr>
                <w:rFonts w:ascii="Arial" w:eastAsia="Arial" w:hAnsi="Arial" w:cs="Arial"/>
                <w:b/>
                <w:bCs/>
                <w:color w:val="FFFFFF"/>
                <w:sz w:val="22"/>
                <w:szCs w:val="22"/>
              </w:rPr>
              <w:t>Section 2</w:t>
            </w:r>
            <w:r w:rsidR="005767EF">
              <w:rPr>
                <w:rFonts w:ascii="Arial" w:eastAsia="Arial" w:hAnsi="Arial" w:cs="Arial"/>
                <w:b/>
                <w:bCs/>
                <w:color w:val="FFFFFF"/>
                <w:sz w:val="22"/>
                <w:szCs w:val="22"/>
              </w:rPr>
              <w:t xml:space="preserve">: </w:t>
            </w:r>
            <w:r>
              <w:rPr>
                <w:rFonts w:ascii="Arial" w:eastAsia="Arial" w:hAnsi="Arial" w:cs="Arial"/>
                <w:b/>
                <w:bCs/>
                <w:color w:val="FFFFFF"/>
                <w:sz w:val="22"/>
                <w:szCs w:val="22"/>
              </w:rPr>
              <w:t>How to Measure Success</w:t>
            </w:r>
          </w:p>
        </w:tc>
      </w:tr>
    </w:tbl>
    <w:p w14:paraId="13E8068E" w14:textId="77777777" w:rsidR="00932DC5" w:rsidRDefault="00932DC5">
      <w:pPr>
        <w:spacing w:before="160"/>
      </w:pPr>
    </w:p>
    <w:p w14:paraId="4750234B" w14:textId="6B626E42" w:rsidR="00932DC5" w:rsidRDefault="00AC0C20">
      <w:pPr>
        <w:spacing w:before="80" w:after="80"/>
      </w:pPr>
      <w:r>
        <w:rPr>
          <w:rFonts w:ascii="Arial" w:eastAsia="Arial" w:hAnsi="Arial" w:cs="Arial"/>
          <w:color w:val="1A1A1A"/>
          <w:sz w:val="21"/>
          <w:szCs w:val="21"/>
        </w:rPr>
        <w:t>Track progress across both leading and lagging measures. The goal is honest diagnosis followed by targeted improvement</w:t>
      </w:r>
      <w:r w:rsidR="002B560F">
        <w:rPr>
          <w:rFonts w:ascii="Arial" w:eastAsia="Arial" w:hAnsi="Arial" w:cs="Arial"/>
          <w:color w:val="1A1A1A"/>
          <w:sz w:val="21"/>
          <w:szCs w:val="21"/>
        </w:rPr>
        <w:t xml:space="preserve">, </w:t>
      </w:r>
      <w:r>
        <w:rPr>
          <w:rFonts w:ascii="Arial" w:eastAsia="Arial" w:hAnsi="Arial" w:cs="Arial"/>
          <w:color w:val="1A1A1A"/>
          <w:sz w:val="21"/>
          <w:szCs w:val="21"/>
        </w:rPr>
        <w:t>not a high score.</w:t>
      </w:r>
    </w:p>
    <w:p w14:paraId="6866C671" w14:textId="77777777" w:rsidR="00932DC5" w:rsidRDefault="00932DC5">
      <w:pPr>
        <w:spacing w:before="160"/>
      </w:pPr>
    </w:p>
    <w:p w14:paraId="49D7C0DB" w14:textId="77777777" w:rsidR="00932DC5" w:rsidRDefault="00AC0C20">
      <w:pPr>
        <w:pBdr>
          <w:bottom w:val="single" w:sz="6" w:space="0" w:color="5B2D8E"/>
        </w:pBdr>
        <w:spacing w:before="280" w:after="120"/>
      </w:pPr>
      <w:r>
        <w:rPr>
          <w:rFonts w:ascii="Arial" w:eastAsia="Arial" w:hAnsi="Arial" w:cs="Arial"/>
          <w:b/>
          <w:bCs/>
          <w:color w:val="5B2D8E"/>
          <w:sz w:val="24"/>
          <w:szCs w:val="24"/>
        </w:rPr>
        <w:t>Leading Indicators (30 days)</w:t>
      </w:r>
    </w:p>
    <w:p w14:paraId="750E694C" w14:textId="77777777" w:rsidR="00932DC5" w:rsidRDefault="00932DC5">
      <w:pPr>
        <w:spacing w:before="80"/>
      </w:pPr>
    </w:p>
    <w:p w14:paraId="44EA7D59" w14:textId="2B61BBD6" w:rsidR="00932DC5" w:rsidRDefault="00AC0C20">
      <w:pPr>
        <w:pStyle w:val="ListParagraph"/>
        <w:numPr>
          <w:ilvl w:val="0"/>
          <w:numId w:val="2"/>
        </w:numPr>
        <w:spacing w:before="40" w:after="40"/>
      </w:pPr>
      <w:r>
        <w:rPr>
          <w:rFonts w:ascii="Arial" w:eastAsia="Arial" w:hAnsi="Arial" w:cs="Arial"/>
          <w:color w:val="1A1A1A"/>
          <w:sz w:val="21"/>
          <w:szCs w:val="21"/>
        </w:rPr>
        <w:t>Audit completed by leadership team as a group</w:t>
      </w:r>
      <w:r w:rsidR="002B560F">
        <w:rPr>
          <w:rFonts w:ascii="Arial" w:eastAsia="Arial" w:hAnsi="Arial" w:cs="Arial"/>
          <w:color w:val="1A1A1A"/>
          <w:sz w:val="21"/>
          <w:szCs w:val="21"/>
        </w:rPr>
        <w:t>,</w:t>
      </w:r>
      <w:r>
        <w:rPr>
          <w:rFonts w:ascii="Arial" w:eastAsia="Arial" w:hAnsi="Arial" w:cs="Arial"/>
          <w:color w:val="1A1A1A"/>
          <w:sz w:val="21"/>
          <w:szCs w:val="21"/>
        </w:rPr>
        <w:t xml:space="preserve"> not individually.</w:t>
      </w:r>
    </w:p>
    <w:p w14:paraId="72D7992B" w14:textId="77777777" w:rsidR="00932DC5" w:rsidRDefault="00AC0C20">
      <w:pPr>
        <w:pStyle w:val="ListParagraph"/>
        <w:numPr>
          <w:ilvl w:val="0"/>
          <w:numId w:val="2"/>
        </w:numPr>
        <w:spacing w:before="40" w:after="40"/>
      </w:pPr>
      <w:r>
        <w:rPr>
          <w:rFonts w:ascii="Arial" w:eastAsia="Arial" w:hAnsi="Arial" w:cs="Arial"/>
          <w:color w:val="1A1A1A"/>
          <w:sz w:val="21"/>
          <w:szCs w:val="21"/>
        </w:rPr>
        <w:t>All eleven domains scored and recorded in the Tracker.</w:t>
      </w:r>
    </w:p>
    <w:p w14:paraId="541BFEA8" w14:textId="77777777" w:rsidR="00932DC5" w:rsidRDefault="00AC0C20">
      <w:pPr>
        <w:pStyle w:val="ListParagraph"/>
        <w:numPr>
          <w:ilvl w:val="0"/>
          <w:numId w:val="2"/>
        </w:numPr>
        <w:spacing w:before="40" w:after="40"/>
      </w:pPr>
      <w:r>
        <w:rPr>
          <w:rFonts w:ascii="Arial" w:eastAsia="Arial" w:hAnsi="Arial" w:cs="Arial"/>
          <w:color w:val="1A1A1A"/>
          <w:sz w:val="21"/>
          <w:szCs w:val="21"/>
        </w:rPr>
        <w:t>Priority gaps identified with named owners and deadlines.</w:t>
      </w:r>
    </w:p>
    <w:p w14:paraId="51054C92" w14:textId="77777777" w:rsidR="00932DC5" w:rsidRDefault="00AC0C20">
      <w:pPr>
        <w:pStyle w:val="ListParagraph"/>
        <w:numPr>
          <w:ilvl w:val="0"/>
          <w:numId w:val="2"/>
        </w:numPr>
        <w:spacing w:before="40" w:after="40"/>
      </w:pPr>
      <w:r>
        <w:rPr>
          <w:rFonts w:ascii="Arial" w:eastAsia="Arial" w:hAnsi="Arial" w:cs="Arial"/>
          <w:color w:val="1A1A1A"/>
          <w:sz w:val="21"/>
          <w:szCs w:val="21"/>
        </w:rPr>
        <w:t>First concrete action completed within four weeks of the session.</w:t>
      </w:r>
    </w:p>
    <w:p w14:paraId="53575933" w14:textId="77777777" w:rsidR="00932DC5" w:rsidRDefault="00932DC5">
      <w:pPr>
        <w:spacing w:before="160"/>
      </w:pPr>
    </w:p>
    <w:p w14:paraId="5905E366" w14:textId="77777777" w:rsidR="00932DC5" w:rsidRDefault="00AC0C20">
      <w:pPr>
        <w:pBdr>
          <w:bottom w:val="single" w:sz="6" w:space="0" w:color="5B2D8E"/>
        </w:pBdr>
        <w:spacing w:before="280" w:after="120"/>
      </w:pPr>
      <w:r>
        <w:rPr>
          <w:rFonts w:ascii="Arial" w:eastAsia="Arial" w:hAnsi="Arial" w:cs="Arial"/>
          <w:b/>
          <w:bCs/>
          <w:color w:val="5B2D8E"/>
          <w:sz w:val="24"/>
          <w:szCs w:val="24"/>
        </w:rPr>
        <w:t>Lagging Indicators (Quarterly)</w:t>
      </w:r>
    </w:p>
    <w:p w14:paraId="51F1B325" w14:textId="77777777" w:rsidR="00932DC5" w:rsidRDefault="00932DC5">
      <w:pPr>
        <w:spacing w:before="80"/>
      </w:pPr>
    </w:p>
    <w:p w14:paraId="40726C48" w14:textId="77777777" w:rsidR="00932DC5" w:rsidRDefault="00AC0C20">
      <w:pPr>
        <w:pStyle w:val="ListParagraph"/>
        <w:numPr>
          <w:ilvl w:val="0"/>
          <w:numId w:val="2"/>
        </w:numPr>
        <w:spacing w:before="40" w:after="40"/>
      </w:pPr>
      <w:r>
        <w:rPr>
          <w:rFonts w:ascii="Arial" w:eastAsia="Arial" w:hAnsi="Arial" w:cs="Arial"/>
          <w:color w:val="1A1A1A"/>
          <w:sz w:val="21"/>
          <w:szCs w:val="21"/>
        </w:rPr>
        <w:t>Maturity stage progression: at least one domain moved forward per quarter.</w:t>
      </w:r>
    </w:p>
    <w:p w14:paraId="00B0D7D5" w14:textId="77777777" w:rsidR="00932DC5" w:rsidRDefault="00AC0C20">
      <w:pPr>
        <w:pStyle w:val="ListParagraph"/>
        <w:numPr>
          <w:ilvl w:val="0"/>
          <w:numId w:val="2"/>
        </w:numPr>
        <w:spacing w:before="40" w:after="40"/>
      </w:pPr>
      <w:r>
        <w:rPr>
          <w:rFonts w:ascii="Arial" w:eastAsia="Arial" w:hAnsi="Arial" w:cs="Arial"/>
          <w:color w:val="1A1A1A"/>
          <w:sz w:val="21"/>
          <w:szCs w:val="21"/>
        </w:rPr>
        <w:t>Priority gap actions completed by their deadlines.</w:t>
      </w:r>
    </w:p>
    <w:p w14:paraId="1B54B968" w14:textId="77777777" w:rsidR="00932DC5" w:rsidRDefault="00AC0C20">
      <w:pPr>
        <w:pStyle w:val="ListParagraph"/>
        <w:numPr>
          <w:ilvl w:val="0"/>
          <w:numId w:val="2"/>
        </w:numPr>
        <w:spacing w:before="40" w:after="40"/>
      </w:pPr>
      <w:r>
        <w:rPr>
          <w:rFonts w:ascii="Arial" w:eastAsia="Arial" w:hAnsi="Arial" w:cs="Arial"/>
          <w:color w:val="1A1A1A"/>
          <w:sz w:val="21"/>
          <w:szCs w:val="21"/>
        </w:rPr>
        <w:lastRenderedPageBreak/>
        <w:t>Article 4 AI literacy compliance: at least one documented step taken since February 2025.</w:t>
      </w:r>
    </w:p>
    <w:p w14:paraId="1C599903" w14:textId="77777777" w:rsidR="00932DC5" w:rsidRDefault="00AC0C20">
      <w:pPr>
        <w:pStyle w:val="ListParagraph"/>
        <w:numPr>
          <w:ilvl w:val="0"/>
          <w:numId w:val="2"/>
        </w:numPr>
        <w:spacing w:before="40" w:after="40"/>
      </w:pPr>
      <w:r>
        <w:rPr>
          <w:rFonts w:ascii="Arial" w:eastAsia="Arial" w:hAnsi="Arial" w:cs="Arial"/>
          <w:color w:val="1A1A1A"/>
          <w:sz w:val="21"/>
          <w:szCs w:val="21"/>
        </w:rPr>
        <w:t>AI Bill 2026 implications reviewed by legal or compliance before August 2026.</w:t>
      </w:r>
    </w:p>
    <w:p w14:paraId="344FB8FB" w14:textId="77777777" w:rsidR="00932DC5" w:rsidRDefault="00AC0C20">
      <w:pPr>
        <w:pStyle w:val="ListParagraph"/>
        <w:numPr>
          <w:ilvl w:val="0"/>
          <w:numId w:val="2"/>
        </w:numPr>
        <w:spacing w:before="40" w:after="40"/>
      </w:pPr>
      <w:r>
        <w:rPr>
          <w:rFonts w:ascii="Arial" w:eastAsia="Arial" w:hAnsi="Arial" w:cs="Arial"/>
          <w:color w:val="1A1A1A"/>
          <w:sz w:val="21"/>
          <w:szCs w:val="21"/>
        </w:rPr>
        <w:t>Board AI reporting established as a standing item, not a one-off.</w:t>
      </w:r>
    </w:p>
    <w:p w14:paraId="71784FCF" w14:textId="77777777" w:rsidR="00932DC5" w:rsidRDefault="00932DC5">
      <w:pPr>
        <w:spacing w:before="16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58FF5E8C"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2F9A997F" w14:textId="77777777" w:rsidR="00932DC5" w:rsidRDefault="00AC0C20">
            <w:r>
              <w:rPr>
                <w:rFonts w:ascii="Arial" w:eastAsia="Arial" w:hAnsi="Arial" w:cs="Arial"/>
                <w:b/>
                <w:bCs/>
                <w:color w:val="5B2D8E"/>
                <w:sz w:val="21"/>
                <w:szCs w:val="21"/>
              </w:rPr>
              <w:t>Board reporting statement</w:t>
            </w:r>
          </w:p>
        </w:tc>
      </w:tr>
    </w:tbl>
    <w:p w14:paraId="57DB10A7" w14:textId="77777777" w:rsidR="00932DC5" w:rsidRDefault="00932DC5">
      <w:pPr>
        <w:spacing w:before="80"/>
      </w:pPr>
    </w:p>
    <w:p w14:paraId="0A1AB0CF" w14:textId="77777777" w:rsidR="00932DC5" w:rsidRDefault="00AC0C20">
      <w:pPr>
        <w:spacing w:before="80" w:after="80"/>
      </w:pPr>
      <w:r>
        <w:rPr>
          <w:rFonts w:ascii="Arial" w:eastAsia="Arial" w:hAnsi="Arial" w:cs="Arial"/>
          <w:color w:val="1A1A1A"/>
          <w:sz w:val="21"/>
          <w:szCs w:val="21"/>
        </w:rPr>
        <w:t>"Capability &amp; Readiness Audit completed [date]. Director capability: [stage]. Organisational readiness: [stage]. Priority gaps: [top 2–3 domains]. Named owners assigned. Next review: [date]."</w:t>
      </w:r>
    </w:p>
    <w:p w14:paraId="3CFDBC62" w14:textId="77777777" w:rsidR="00932DC5" w:rsidRDefault="00932DC5">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02EF7EF4"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6D30C481" w14:textId="73996B64" w:rsidR="00932DC5" w:rsidRDefault="00AC0C20">
            <w:r>
              <w:rPr>
                <w:rFonts w:ascii="Arial" w:eastAsia="Arial" w:hAnsi="Arial" w:cs="Arial"/>
                <w:b/>
                <w:bCs/>
                <w:color w:val="FFFFFF"/>
                <w:sz w:val="22"/>
                <w:szCs w:val="22"/>
              </w:rPr>
              <w:t>Section 3</w:t>
            </w:r>
            <w:r w:rsidR="005767EF">
              <w:rPr>
                <w:rFonts w:ascii="Arial" w:eastAsia="Arial" w:hAnsi="Arial" w:cs="Arial"/>
                <w:b/>
                <w:bCs/>
                <w:color w:val="FFFFFF"/>
                <w:sz w:val="22"/>
                <w:szCs w:val="22"/>
              </w:rPr>
              <w:t xml:space="preserve">: </w:t>
            </w:r>
            <w:r>
              <w:rPr>
                <w:rFonts w:ascii="Arial" w:eastAsia="Arial" w:hAnsi="Arial" w:cs="Arial"/>
                <w:b/>
                <w:bCs/>
                <w:color w:val="FFFFFF"/>
                <w:sz w:val="22"/>
                <w:szCs w:val="22"/>
              </w:rPr>
              <w:t>Embedding the Audit</w:t>
            </w:r>
          </w:p>
        </w:tc>
      </w:tr>
    </w:tbl>
    <w:p w14:paraId="38E6144F" w14:textId="77777777" w:rsidR="00932DC5" w:rsidRDefault="00932DC5">
      <w:pPr>
        <w:spacing w:before="160"/>
      </w:pPr>
    </w:p>
    <w:p w14:paraId="6DA5E0FB" w14:textId="77777777" w:rsidR="00932DC5" w:rsidRDefault="00AC0C20">
      <w:pPr>
        <w:pBdr>
          <w:bottom w:val="single" w:sz="6" w:space="0" w:color="5B2D8E"/>
        </w:pBdr>
        <w:spacing w:before="280" w:after="120"/>
      </w:pPr>
      <w:r>
        <w:rPr>
          <w:rFonts w:ascii="Arial" w:eastAsia="Arial" w:hAnsi="Arial" w:cs="Arial"/>
          <w:b/>
          <w:bCs/>
          <w:color w:val="5B2D8E"/>
          <w:sz w:val="24"/>
          <w:szCs w:val="24"/>
        </w:rPr>
        <w:t>Making It a Governance Habit</w:t>
      </w:r>
    </w:p>
    <w:p w14:paraId="0FB4FC91" w14:textId="77777777" w:rsidR="00932DC5" w:rsidRDefault="00932DC5">
      <w:pPr>
        <w:spacing w:before="80"/>
      </w:pPr>
    </w:p>
    <w:p w14:paraId="2D49F210" w14:textId="77777777" w:rsidR="00932DC5" w:rsidRDefault="00AC0C20">
      <w:pPr>
        <w:spacing w:before="80" w:after="80"/>
      </w:pPr>
      <w:r>
        <w:rPr>
          <w:rFonts w:ascii="Arial" w:eastAsia="Arial" w:hAnsi="Arial" w:cs="Arial"/>
          <w:color w:val="1A1A1A"/>
          <w:sz w:val="21"/>
          <w:szCs w:val="21"/>
        </w:rPr>
        <w:t>The most common failure mode is completing the audit once and filing the result. The audit is designed for quarterly use. As AI adoption evolves, governance capability must evolve with it.</w:t>
      </w:r>
    </w:p>
    <w:p w14:paraId="08D809D0" w14:textId="77777777" w:rsidR="00932DC5" w:rsidRDefault="00932DC5">
      <w:pPr>
        <w:spacing w:before="80"/>
      </w:pPr>
    </w:p>
    <w:p w14:paraId="62FD144D" w14:textId="77777777" w:rsidR="00932DC5" w:rsidRDefault="00AC0C20">
      <w:pPr>
        <w:spacing w:before="80" w:after="80"/>
      </w:pPr>
      <w:r>
        <w:rPr>
          <w:rFonts w:ascii="Arial" w:eastAsia="Arial" w:hAnsi="Arial" w:cs="Arial"/>
          <w:color w:val="1A1A1A"/>
          <w:sz w:val="21"/>
          <w:szCs w:val="21"/>
        </w:rPr>
        <w:t>Build the quarterly review into the governance calendar alongside other standing reviews. After the first session, subsequent reviews focus on: progress against priority actions, score changes in key domains, and any new AI developments requiring governance attention.</w:t>
      </w:r>
    </w:p>
    <w:p w14:paraId="2200C077" w14:textId="77777777" w:rsidR="00932DC5" w:rsidRDefault="00932DC5">
      <w:pPr>
        <w:spacing w:before="160"/>
      </w:pPr>
    </w:p>
    <w:p w14:paraId="11E45DB0" w14:textId="77777777" w:rsidR="00932DC5" w:rsidRDefault="00AC0C20">
      <w:pPr>
        <w:pBdr>
          <w:bottom w:val="single" w:sz="6" w:space="0" w:color="5B2D8E"/>
        </w:pBdr>
        <w:spacing w:before="280" w:after="120"/>
      </w:pPr>
      <w:r>
        <w:rPr>
          <w:rFonts w:ascii="Arial" w:eastAsia="Arial" w:hAnsi="Arial" w:cs="Arial"/>
          <w:b/>
          <w:bCs/>
          <w:color w:val="5B2D8E"/>
          <w:sz w:val="24"/>
          <w:szCs w:val="24"/>
        </w:rPr>
        <w:t>Connecting to Other IoD Toolkit Tools</w:t>
      </w:r>
    </w:p>
    <w:p w14:paraId="00EAF538" w14:textId="77777777" w:rsidR="00932DC5" w:rsidRDefault="00932DC5">
      <w:pPr>
        <w:spacing w:before="80"/>
      </w:pPr>
    </w:p>
    <w:p w14:paraId="50CE155F" w14:textId="77777777" w:rsidR="00932DC5" w:rsidRDefault="00AC0C20">
      <w:pPr>
        <w:spacing w:before="80" w:after="80"/>
      </w:pPr>
      <w:r>
        <w:rPr>
          <w:rFonts w:ascii="Arial" w:eastAsia="Arial" w:hAnsi="Arial" w:cs="Arial"/>
          <w:color w:val="1A1A1A"/>
          <w:sz w:val="21"/>
          <w:szCs w:val="21"/>
        </w:rPr>
        <w:t>The Capability &amp; Readiness Audit sits at the centre of the toolkit sequence. Use audit findings to direct activity across the other tools.</w:t>
      </w:r>
    </w:p>
    <w:p w14:paraId="0D16C7EA" w14:textId="77777777" w:rsidR="00932DC5" w:rsidRDefault="00932DC5">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6"/>
        <w:gridCol w:w="6000"/>
      </w:tblGrid>
      <w:tr w:rsidR="00932DC5" w14:paraId="6F01A670" w14:textId="77777777">
        <w:trPr>
          <w:tblHeader/>
        </w:trPr>
        <w:tc>
          <w:tcPr>
            <w:tcW w:w="302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3E001840" w14:textId="77777777" w:rsidR="00932DC5" w:rsidRDefault="00AC0C20">
            <w:r>
              <w:rPr>
                <w:rFonts w:ascii="Arial" w:eastAsia="Arial" w:hAnsi="Arial" w:cs="Arial"/>
                <w:b/>
                <w:bCs/>
                <w:color w:val="FFFFFF"/>
                <w:sz w:val="17"/>
                <w:szCs w:val="17"/>
              </w:rPr>
              <w:t>Audit Gap</w:t>
            </w:r>
          </w:p>
        </w:tc>
        <w:tc>
          <w:tcPr>
            <w:tcW w:w="6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24AF2A97" w14:textId="77777777" w:rsidR="00932DC5" w:rsidRDefault="00AC0C20">
            <w:r>
              <w:rPr>
                <w:rFonts w:ascii="Arial" w:eastAsia="Arial" w:hAnsi="Arial" w:cs="Arial"/>
                <w:b/>
                <w:bCs/>
                <w:color w:val="FFFFFF"/>
                <w:sz w:val="17"/>
                <w:szCs w:val="17"/>
              </w:rPr>
              <w:t>Recommended next step</w:t>
            </w:r>
          </w:p>
        </w:tc>
      </w:tr>
      <w:tr w:rsidR="00932DC5" w14:paraId="67D0CEB9" w14:textId="77777777">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2D5B10BF" w14:textId="1C21F961" w:rsidR="00932DC5" w:rsidRDefault="00AC0C20">
            <w:r>
              <w:rPr>
                <w:rFonts w:ascii="Arial" w:eastAsia="Arial" w:hAnsi="Arial" w:cs="Arial"/>
                <w:b/>
                <w:bCs/>
                <w:color w:val="5B2D8E"/>
                <w:sz w:val="19"/>
                <w:szCs w:val="19"/>
              </w:rPr>
              <w:t>Domain 2A</w:t>
            </w:r>
            <w:r w:rsidR="005767EF">
              <w:rPr>
                <w:rFonts w:ascii="Arial" w:eastAsia="Arial" w:hAnsi="Arial" w:cs="Arial"/>
                <w:b/>
                <w:bCs/>
                <w:color w:val="5B2D8E"/>
                <w:sz w:val="19"/>
                <w:szCs w:val="19"/>
              </w:rPr>
              <w:t xml:space="preserve">: </w:t>
            </w:r>
            <w:r>
              <w:rPr>
                <w:rFonts w:ascii="Arial" w:eastAsia="Arial" w:hAnsi="Arial" w:cs="Arial"/>
                <w:b/>
                <w:bCs/>
                <w:color w:val="5B2D8E"/>
                <w:sz w:val="19"/>
                <w:szCs w:val="19"/>
              </w:rPr>
              <w:t>No AI inventory</w:t>
            </w:r>
          </w:p>
        </w:tc>
        <w:tc>
          <w:tcPr>
            <w:tcW w:w="6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199E452F" w14:textId="77777777" w:rsidR="00932DC5" w:rsidRDefault="00AC0C20">
            <w:r>
              <w:rPr>
                <w:rFonts w:ascii="Arial" w:eastAsia="Arial" w:hAnsi="Arial" w:cs="Arial"/>
                <w:color w:val="1A1A1A"/>
                <w:sz w:val="19"/>
                <w:szCs w:val="19"/>
              </w:rPr>
              <w:t>Complete Tool 1.1 (Shadow AI Audit). The discovery survey and risk matrix produce the inventory directly.</w:t>
            </w:r>
          </w:p>
        </w:tc>
      </w:tr>
      <w:tr w:rsidR="00932DC5" w14:paraId="0856FF21" w14:textId="77777777">
        <w:tc>
          <w:tcPr>
            <w:tcW w:w="3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50978751" w14:textId="57320BC5" w:rsidR="00932DC5" w:rsidRDefault="00AC0C20">
            <w:r>
              <w:rPr>
                <w:rFonts w:ascii="Arial" w:eastAsia="Arial" w:hAnsi="Arial" w:cs="Arial"/>
                <w:b/>
                <w:bCs/>
                <w:color w:val="5B2D8E"/>
                <w:sz w:val="19"/>
                <w:szCs w:val="19"/>
              </w:rPr>
              <w:t>Domain 2B</w:t>
            </w:r>
            <w:r w:rsidR="005767EF">
              <w:rPr>
                <w:rFonts w:ascii="Arial" w:eastAsia="Arial" w:hAnsi="Arial" w:cs="Arial"/>
                <w:b/>
                <w:bCs/>
                <w:color w:val="5B2D8E"/>
                <w:sz w:val="19"/>
                <w:szCs w:val="19"/>
              </w:rPr>
              <w:t>:</w:t>
            </w:r>
            <w:r>
              <w:rPr>
                <w:rFonts w:ascii="Arial" w:eastAsia="Arial" w:hAnsi="Arial" w:cs="Arial"/>
                <w:b/>
                <w:bCs/>
                <w:color w:val="5B2D8E"/>
                <w:sz w:val="19"/>
                <w:szCs w:val="19"/>
              </w:rPr>
              <w:t xml:space="preserve"> No AI use policy</w:t>
            </w:r>
          </w:p>
        </w:tc>
        <w:tc>
          <w:tcPr>
            <w:tcW w:w="6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602F0EC8" w14:textId="77777777" w:rsidR="00932DC5" w:rsidRDefault="00AC0C20">
            <w:r>
              <w:rPr>
                <w:rFonts w:ascii="Arial" w:eastAsia="Arial" w:hAnsi="Arial" w:cs="Arial"/>
                <w:color w:val="1A1A1A"/>
                <w:sz w:val="19"/>
                <w:szCs w:val="19"/>
              </w:rPr>
              <w:t>Use Tool 2.1 (AI Use Policy Builder). The template can be adopted and customised in a single session.</w:t>
            </w:r>
          </w:p>
        </w:tc>
      </w:tr>
      <w:tr w:rsidR="00932DC5" w14:paraId="5E369B51" w14:textId="77777777">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0C863AC1" w14:textId="00C08E21" w:rsidR="00932DC5" w:rsidRDefault="00AC0C20">
            <w:r>
              <w:rPr>
                <w:rFonts w:ascii="Arial" w:eastAsia="Arial" w:hAnsi="Arial" w:cs="Arial"/>
                <w:b/>
                <w:bCs/>
                <w:color w:val="5B2D8E"/>
                <w:sz w:val="19"/>
                <w:szCs w:val="19"/>
              </w:rPr>
              <w:t>Domain 1A</w:t>
            </w:r>
            <w:r w:rsidR="005767EF">
              <w:rPr>
                <w:rFonts w:ascii="Arial" w:eastAsia="Arial" w:hAnsi="Arial" w:cs="Arial"/>
                <w:b/>
                <w:bCs/>
                <w:color w:val="5B2D8E"/>
                <w:sz w:val="19"/>
                <w:szCs w:val="19"/>
              </w:rPr>
              <w:t>:</w:t>
            </w:r>
            <w:r>
              <w:rPr>
                <w:rFonts w:ascii="Arial" w:eastAsia="Arial" w:hAnsi="Arial" w:cs="Arial"/>
                <w:b/>
                <w:bCs/>
                <w:color w:val="5B2D8E"/>
                <w:sz w:val="19"/>
                <w:szCs w:val="19"/>
              </w:rPr>
              <w:t xml:space="preserve"> Low AI literacy</w:t>
            </w:r>
          </w:p>
        </w:tc>
        <w:tc>
          <w:tcPr>
            <w:tcW w:w="6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1488C692" w14:textId="77777777" w:rsidR="00932DC5" w:rsidRDefault="00AC0C20">
            <w:r>
              <w:rPr>
                <w:rFonts w:ascii="Arial" w:eastAsia="Arial" w:hAnsi="Arial" w:cs="Arial"/>
                <w:color w:val="1A1A1A"/>
                <w:sz w:val="19"/>
                <w:szCs w:val="19"/>
              </w:rPr>
              <w:t>IoD Digital &amp; AI for Boards programme. Builds the foundational strategic literacy that underpins governance capability.</w:t>
            </w:r>
          </w:p>
        </w:tc>
      </w:tr>
      <w:tr w:rsidR="00932DC5" w14:paraId="49AC9B4B" w14:textId="77777777">
        <w:tc>
          <w:tcPr>
            <w:tcW w:w="3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6FF148D1" w14:textId="7EF386D7" w:rsidR="00932DC5" w:rsidRDefault="00AC0C20">
            <w:r>
              <w:rPr>
                <w:rFonts w:ascii="Arial" w:eastAsia="Arial" w:hAnsi="Arial" w:cs="Arial"/>
                <w:b/>
                <w:bCs/>
                <w:color w:val="5B2D8E"/>
                <w:sz w:val="19"/>
                <w:szCs w:val="19"/>
              </w:rPr>
              <w:t>Domain 2E</w:t>
            </w:r>
            <w:r w:rsidR="005767EF">
              <w:rPr>
                <w:rFonts w:ascii="Arial" w:eastAsia="Arial" w:hAnsi="Arial" w:cs="Arial"/>
                <w:b/>
                <w:bCs/>
                <w:color w:val="5B2D8E"/>
                <w:sz w:val="19"/>
                <w:szCs w:val="19"/>
              </w:rPr>
              <w:t>:</w:t>
            </w:r>
            <w:r>
              <w:rPr>
                <w:rFonts w:ascii="Arial" w:eastAsia="Arial" w:hAnsi="Arial" w:cs="Arial"/>
                <w:b/>
                <w:bCs/>
                <w:color w:val="5B2D8E"/>
                <w:sz w:val="19"/>
                <w:szCs w:val="19"/>
              </w:rPr>
              <w:t xml:space="preserve"> No board reporting</w:t>
            </w:r>
          </w:p>
        </w:tc>
        <w:tc>
          <w:tcPr>
            <w:tcW w:w="6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16836454" w14:textId="77777777" w:rsidR="00932DC5" w:rsidRDefault="00AC0C20">
            <w:r>
              <w:rPr>
                <w:rFonts w:ascii="Arial" w:eastAsia="Arial" w:hAnsi="Arial" w:cs="Arial"/>
                <w:color w:val="1A1A1A"/>
                <w:sz w:val="19"/>
                <w:szCs w:val="19"/>
              </w:rPr>
              <w:t>Establish a standing AI agenda item. Start with the reporting statement format from this guide. Add structure quarterly.</w:t>
            </w:r>
          </w:p>
        </w:tc>
      </w:tr>
    </w:tbl>
    <w:p w14:paraId="7DCE6F99" w14:textId="77777777" w:rsidR="00932DC5" w:rsidRDefault="00932DC5">
      <w:pPr>
        <w:spacing w:before="240"/>
      </w:pPr>
    </w:p>
    <w:p w14:paraId="5ED13271" w14:textId="77777777" w:rsidR="002B560F" w:rsidRDefault="002B560F">
      <w:pPr>
        <w:spacing w:before="240"/>
      </w:pPr>
    </w:p>
    <w:p w14:paraId="13875EBE" w14:textId="77777777" w:rsidR="002B560F" w:rsidRDefault="002B560F">
      <w:pPr>
        <w:spacing w:before="240"/>
      </w:pPr>
    </w:p>
    <w:p w14:paraId="739C3B3D" w14:textId="2185F28E" w:rsidR="00932DC5" w:rsidRDefault="00AC0C20">
      <w:pPr>
        <w:pBdr>
          <w:bottom w:val="single" w:sz="6" w:space="0" w:color="5B2D8E"/>
        </w:pBdr>
        <w:spacing w:before="280" w:after="120"/>
      </w:pPr>
      <w:r>
        <w:rPr>
          <w:rFonts w:ascii="Arial" w:eastAsia="Arial" w:hAnsi="Arial" w:cs="Arial"/>
          <w:b/>
          <w:bCs/>
          <w:color w:val="5B2D8E"/>
          <w:sz w:val="24"/>
          <w:szCs w:val="24"/>
        </w:rPr>
        <w:lastRenderedPageBreak/>
        <w:t>Common Resistance</w:t>
      </w:r>
      <w:r w:rsidR="005767EF">
        <w:rPr>
          <w:rFonts w:ascii="Arial" w:eastAsia="Arial" w:hAnsi="Arial" w:cs="Arial"/>
          <w:b/>
          <w:bCs/>
          <w:color w:val="5B2D8E"/>
          <w:sz w:val="19"/>
          <w:szCs w:val="19"/>
        </w:rPr>
        <w:t>:</w:t>
      </w:r>
      <w:r>
        <w:rPr>
          <w:rFonts w:ascii="Arial" w:eastAsia="Arial" w:hAnsi="Arial" w:cs="Arial"/>
          <w:b/>
          <w:bCs/>
          <w:color w:val="5B2D8E"/>
          <w:sz w:val="24"/>
          <w:szCs w:val="24"/>
        </w:rPr>
        <w:t xml:space="preserve"> and How to Counter It</w:t>
      </w:r>
    </w:p>
    <w:p w14:paraId="4B997A56" w14:textId="77777777" w:rsidR="00932DC5" w:rsidRDefault="00932DC5">
      <w:pPr>
        <w:spacing w:before="80"/>
      </w:pPr>
    </w:p>
    <w:p w14:paraId="59F713BA" w14:textId="77777777" w:rsidR="00932DC5" w:rsidRDefault="00AC0C20">
      <w:pPr>
        <w:spacing w:before="160" w:after="60"/>
      </w:pPr>
      <w:r>
        <w:rPr>
          <w:rFonts w:ascii="Arial" w:eastAsia="Arial" w:hAnsi="Arial" w:cs="Arial"/>
          <w:b/>
          <w:bCs/>
          <w:color w:val="5B2D8E"/>
          <w:sz w:val="21"/>
          <w:szCs w:val="21"/>
        </w:rPr>
        <w:t>"We already have governance in place."</w:t>
      </w:r>
    </w:p>
    <w:p w14:paraId="76BCA248" w14:textId="77777777" w:rsidR="00932DC5" w:rsidRDefault="00AC0C20">
      <w:pPr>
        <w:spacing w:before="80" w:after="80"/>
      </w:pPr>
      <w:r>
        <w:rPr>
          <w:rFonts w:ascii="Arial" w:eastAsia="Arial" w:hAnsi="Arial" w:cs="Arial"/>
          <w:color w:val="1A1A1A"/>
          <w:sz w:val="21"/>
          <w:szCs w:val="21"/>
        </w:rPr>
        <w:t>The audit tests governance substance, not governance form. Structures that exist on paper but are not functional are governance theatre. The "Sometimes" score is the test.</w:t>
      </w:r>
    </w:p>
    <w:p w14:paraId="3DAA8A95" w14:textId="77777777" w:rsidR="00932DC5" w:rsidRDefault="00AC0C20">
      <w:pPr>
        <w:spacing w:before="160" w:after="60"/>
      </w:pPr>
      <w:r>
        <w:rPr>
          <w:rFonts w:ascii="Arial" w:eastAsia="Arial" w:hAnsi="Arial" w:cs="Arial"/>
          <w:b/>
          <w:bCs/>
          <w:color w:val="5B2D8E"/>
          <w:sz w:val="21"/>
          <w:szCs w:val="21"/>
        </w:rPr>
        <w:t>"This will take too long."</w:t>
      </w:r>
    </w:p>
    <w:p w14:paraId="52935BA8" w14:textId="77777777" w:rsidR="00932DC5" w:rsidRDefault="00AC0C20">
      <w:pPr>
        <w:spacing w:before="80" w:after="80"/>
      </w:pPr>
      <w:r>
        <w:rPr>
          <w:rFonts w:ascii="Arial" w:eastAsia="Arial" w:hAnsi="Arial" w:cs="Arial"/>
          <w:color w:val="1A1A1A"/>
          <w:sz w:val="21"/>
          <w:szCs w:val="21"/>
        </w:rPr>
        <w:t>The first session takes 2–3 hours. Subsequent reviews take 60–90 minutes. The cost of a governance failure is significantly higher than either.</w:t>
      </w:r>
    </w:p>
    <w:p w14:paraId="7A301A96" w14:textId="77777777" w:rsidR="00932DC5" w:rsidRDefault="00AC0C20">
      <w:pPr>
        <w:spacing w:before="160" w:after="60"/>
      </w:pPr>
      <w:r>
        <w:rPr>
          <w:rFonts w:ascii="Arial" w:eastAsia="Arial" w:hAnsi="Arial" w:cs="Arial"/>
          <w:b/>
          <w:bCs/>
          <w:color w:val="5B2D8E"/>
          <w:sz w:val="21"/>
          <w:szCs w:val="21"/>
        </w:rPr>
        <w:t>"Our organisation is too small for this."</w:t>
      </w:r>
    </w:p>
    <w:p w14:paraId="2278F58A" w14:textId="77777777" w:rsidR="00932DC5" w:rsidRDefault="00AC0C20">
      <w:pPr>
        <w:spacing w:before="80" w:after="80"/>
      </w:pPr>
      <w:r>
        <w:rPr>
          <w:rFonts w:ascii="Arial" w:eastAsia="Arial" w:hAnsi="Arial" w:cs="Arial"/>
          <w:color w:val="1A1A1A"/>
          <w:sz w:val="21"/>
          <w:szCs w:val="21"/>
        </w:rPr>
        <w:t>The EU AI Act's Article 4 obligation applies regardless of size. The audit is designed proportionately — it does not assume dedicated AI staff or large-enterprise resources.</w:t>
      </w:r>
    </w:p>
    <w:p w14:paraId="15706B27" w14:textId="77777777" w:rsidR="00932DC5" w:rsidRDefault="00AC0C20">
      <w:pPr>
        <w:spacing w:before="160" w:after="60"/>
      </w:pPr>
      <w:r>
        <w:rPr>
          <w:rFonts w:ascii="Arial" w:eastAsia="Arial" w:hAnsi="Arial" w:cs="Arial"/>
          <w:b/>
          <w:bCs/>
          <w:color w:val="5B2D8E"/>
          <w:sz w:val="21"/>
          <w:szCs w:val="21"/>
        </w:rPr>
        <w:t>"We don't use AI in any significant way."</w:t>
      </w:r>
    </w:p>
    <w:p w14:paraId="14CB7D9B" w14:textId="77777777" w:rsidR="00932DC5" w:rsidRDefault="00AC0C20">
      <w:pPr>
        <w:spacing w:before="80" w:after="80"/>
      </w:pPr>
      <w:r>
        <w:rPr>
          <w:rFonts w:ascii="Arial" w:eastAsia="Arial" w:hAnsi="Arial" w:cs="Arial"/>
          <w:color w:val="1A1A1A"/>
          <w:sz w:val="21"/>
          <w:szCs w:val="21"/>
        </w:rPr>
        <w:t>IoD Ireland’s Q1 2026 research found 61% of organisations have already implemented AI. The Shadow AI Audit (Tool 1.1) typically surfaces tools that management is unaware of.</w:t>
      </w:r>
    </w:p>
    <w:p w14:paraId="5D9E4CE4" w14:textId="77777777" w:rsidR="00932DC5" w:rsidRDefault="00932DC5">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32DC5" w14:paraId="0DE17C20"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1CF8BFC4" w14:textId="5DF2340A" w:rsidR="00932DC5" w:rsidRDefault="00AC0C20">
            <w:r>
              <w:rPr>
                <w:rFonts w:ascii="Arial" w:eastAsia="Arial" w:hAnsi="Arial" w:cs="Arial"/>
                <w:b/>
                <w:bCs/>
                <w:color w:val="5B2D8E"/>
                <w:sz w:val="21"/>
                <w:szCs w:val="21"/>
              </w:rPr>
              <w:t>Regulatory reminder</w:t>
            </w:r>
            <w:r w:rsidR="005767EF">
              <w:rPr>
                <w:rFonts w:ascii="Arial" w:eastAsia="Arial" w:hAnsi="Arial" w:cs="Arial"/>
                <w:b/>
                <w:bCs/>
                <w:color w:val="5B2D8E"/>
                <w:sz w:val="19"/>
                <w:szCs w:val="19"/>
              </w:rPr>
              <w:t>:</w:t>
            </w:r>
            <w:r>
              <w:rPr>
                <w:rFonts w:ascii="Arial" w:eastAsia="Arial" w:hAnsi="Arial" w:cs="Arial"/>
                <w:b/>
                <w:bCs/>
                <w:color w:val="5B2D8E"/>
                <w:sz w:val="21"/>
                <w:szCs w:val="21"/>
              </w:rPr>
              <w:t xml:space="preserve"> August 2026 deadline</w:t>
            </w:r>
          </w:p>
        </w:tc>
      </w:tr>
    </w:tbl>
    <w:p w14:paraId="1E639AC3" w14:textId="77777777" w:rsidR="00932DC5" w:rsidRDefault="00932DC5">
      <w:pPr>
        <w:spacing w:before="80"/>
      </w:pPr>
    </w:p>
    <w:p w14:paraId="6E34FB16" w14:textId="77777777" w:rsidR="00932DC5" w:rsidRDefault="00AC0C20">
      <w:pPr>
        <w:spacing w:before="80" w:after="80"/>
      </w:pPr>
      <w:r>
        <w:rPr>
          <w:rFonts w:ascii="Arial" w:eastAsia="Arial" w:hAnsi="Arial" w:cs="Arial"/>
          <w:color w:val="1A1A1A"/>
          <w:sz w:val="21"/>
          <w:szCs w:val="21"/>
        </w:rPr>
        <w:t>Ireland’s AI Office must be operational by 1 August 2026. The EU AI Act’s Article 4 AI literacy obligation has been in force since February 2025. Directors of organisations deploying AI systems carry personal governance exposure. The Capability &amp; Readiness Audit provides a structured, documented basis for demonstrating that your organisation has taken its obligations seriously.</w:t>
      </w:r>
    </w:p>
    <w:p w14:paraId="01916971" w14:textId="77777777" w:rsidR="00932DC5" w:rsidRDefault="00932DC5">
      <w:pPr>
        <w:spacing w:before="80"/>
      </w:pPr>
    </w:p>
    <w:p w14:paraId="4286BDA3" w14:textId="4B4A6754" w:rsidR="00932DC5" w:rsidRDefault="00932DC5">
      <w:pPr>
        <w:spacing w:before="80" w:after="80"/>
        <w:rPr>
          <w:rFonts w:ascii="Arial" w:eastAsia="Arial" w:hAnsi="Arial" w:cs="Arial"/>
          <w:color w:val="1A1A1A"/>
          <w:sz w:val="21"/>
          <w:szCs w:val="21"/>
        </w:rPr>
      </w:pPr>
    </w:p>
    <w:p w14:paraId="200ED0FB" w14:textId="77777777" w:rsidR="002B560F" w:rsidRDefault="002B560F">
      <w:pPr>
        <w:spacing w:before="80" w:after="80"/>
        <w:rPr>
          <w:rFonts w:ascii="Arial" w:eastAsia="Arial" w:hAnsi="Arial" w:cs="Arial"/>
          <w:color w:val="1A1A1A"/>
          <w:sz w:val="21"/>
          <w:szCs w:val="21"/>
        </w:rPr>
      </w:pPr>
    </w:p>
    <w:p w14:paraId="41DD1548" w14:textId="77777777" w:rsidR="002B560F" w:rsidRDefault="002B560F">
      <w:pPr>
        <w:spacing w:before="80" w:after="80"/>
        <w:rPr>
          <w:rFonts w:ascii="Arial" w:eastAsia="Arial" w:hAnsi="Arial" w:cs="Arial"/>
          <w:color w:val="1A1A1A"/>
          <w:sz w:val="21"/>
          <w:szCs w:val="21"/>
        </w:rPr>
      </w:pPr>
    </w:p>
    <w:p w14:paraId="0D628FB6" w14:textId="77777777" w:rsidR="002B560F" w:rsidRDefault="002B560F">
      <w:pPr>
        <w:spacing w:before="80" w:after="80"/>
        <w:rPr>
          <w:rFonts w:ascii="Arial" w:eastAsia="Arial" w:hAnsi="Arial" w:cs="Arial"/>
          <w:color w:val="1A1A1A"/>
          <w:sz w:val="21"/>
          <w:szCs w:val="21"/>
        </w:rPr>
      </w:pPr>
    </w:p>
    <w:p w14:paraId="5F29CE2A" w14:textId="77777777" w:rsidR="002B560F" w:rsidRDefault="002B560F">
      <w:pPr>
        <w:spacing w:before="80" w:after="80"/>
        <w:rPr>
          <w:rFonts w:ascii="Arial" w:eastAsia="Arial" w:hAnsi="Arial" w:cs="Arial"/>
          <w:color w:val="1A1A1A"/>
          <w:sz w:val="21"/>
          <w:szCs w:val="21"/>
        </w:rPr>
      </w:pPr>
    </w:p>
    <w:p w14:paraId="11BBE51E" w14:textId="77777777" w:rsidR="002B560F" w:rsidRDefault="002B560F">
      <w:pPr>
        <w:spacing w:before="80" w:after="80"/>
        <w:rPr>
          <w:rFonts w:ascii="Arial" w:eastAsia="Arial" w:hAnsi="Arial" w:cs="Arial"/>
          <w:color w:val="1A1A1A"/>
          <w:sz w:val="21"/>
          <w:szCs w:val="21"/>
        </w:rPr>
      </w:pPr>
    </w:p>
    <w:p w14:paraId="7C8F34DB" w14:textId="77777777" w:rsidR="002B560F" w:rsidRDefault="002B560F">
      <w:pPr>
        <w:spacing w:before="80" w:after="80"/>
        <w:rPr>
          <w:rFonts w:ascii="Arial" w:eastAsia="Arial" w:hAnsi="Arial" w:cs="Arial"/>
          <w:color w:val="1A1A1A"/>
          <w:sz w:val="21"/>
          <w:szCs w:val="21"/>
        </w:rPr>
      </w:pPr>
    </w:p>
    <w:p w14:paraId="18165DB2" w14:textId="77777777" w:rsidR="002B560F" w:rsidRDefault="002B560F">
      <w:pPr>
        <w:spacing w:before="80" w:after="80"/>
        <w:rPr>
          <w:rFonts w:ascii="Arial" w:eastAsia="Arial" w:hAnsi="Arial" w:cs="Arial"/>
          <w:color w:val="1A1A1A"/>
          <w:sz w:val="21"/>
          <w:szCs w:val="21"/>
        </w:rPr>
      </w:pPr>
    </w:p>
    <w:p w14:paraId="210BADEA" w14:textId="77777777" w:rsidR="002B560F" w:rsidRDefault="002B560F">
      <w:pPr>
        <w:spacing w:before="80" w:after="80"/>
        <w:rPr>
          <w:rFonts w:ascii="Arial" w:eastAsia="Arial" w:hAnsi="Arial" w:cs="Arial"/>
          <w:color w:val="1A1A1A"/>
          <w:sz w:val="21"/>
          <w:szCs w:val="21"/>
        </w:rPr>
      </w:pPr>
    </w:p>
    <w:p w14:paraId="394CAF00" w14:textId="77777777" w:rsidR="002B560F" w:rsidRDefault="002B560F">
      <w:pPr>
        <w:spacing w:before="80" w:after="80"/>
        <w:rPr>
          <w:rFonts w:ascii="Arial" w:eastAsia="Arial" w:hAnsi="Arial" w:cs="Arial"/>
          <w:color w:val="1A1A1A"/>
          <w:sz w:val="21"/>
          <w:szCs w:val="21"/>
        </w:rPr>
      </w:pPr>
    </w:p>
    <w:p w14:paraId="015F7253" w14:textId="77777777" w:rsidR="002B560F" w:rsidRDefault="002B560F">
      <w:pPr>
        <w:spacing w:before="80" w:after="80"/>
        <w:rPr>
          <w:rFonts w:ascii="Arial" w:eastAsia="Arial" w:hAnsi="Arial" w:cs="Arial"/>
          <w:color w:val="1A1A1A"/>
          <w:sz w:val="21"/>
          <w:szCs w:val="21"/>
        </w:rPr>
      </w:pPr>
    </w:p>
    <w:p w14:paraId="49EBF022" w14:textId="77777777" w:rsidR="002B560F" w:rsidRDefault="002B560F">
      <w:pPr>
        <w:spacing w:before="80" w:after="80"/>
        <w:rPr>
          <w:rFonts w:ascii="Arial" w:eastAsia="Arial" w:hAnsi="Arial" w:cs="Arial"/>
          <w:color w:val="1A1A1A"/>
          <w:sz w:val="21"/>
          <w:szCs w:val="21"/>
        </w:rPr>
      </w:pPr>
    </w:p>
    <w:p w14:paraId="64030E56" w14:textId="77777777" w:rsidR="002B560F" w:rsidRDefault="002B560F">
      <w:pPr>
        <w:spacing w:before="80" w:after="80"/>
        <w:rPr>
          <w:rFonts w:ascii="Arial" w:eastAsia="Arial" w:hAnsi="Arial" w:cs="Arial"/>
          <w:color w:val="1A1A1A"/>
          <w:sz w:val="21"/>
          <w:szCs w:val="21"/>
        </w:rPr>
      </w:pPr>
    </w:p>
    <w:p w14:paraId="7F4A9D43" w14:textId="77777777" w:rsidR="002B560F" w:rsidRPr="002B560F" w:rsidRDefault="002B560F">
      <w:pPr>
        <w:spacing w:before="80" w:after="80"/>
        <w:rPr>
          <w:rFonts w:ascii="Arial" w:eastAsia="Arial" w:hAnsi="Arial" w:cs="Arial"/>
          <w:color w:val="1A1A1A"/>
        </w:rPr>
      </w:pPr>
    </w:p>
    <w:p w14:paraId="093844B6" w14:textId="77777777" w:rsidR="002B560F" w:rsidRPr="002B560F" w:rsidRDefault="002B560F">
      <w:pPr>
        <w:spacing w:before="80" w:after="80"/>
        <w:rPr>
          <w:rFonts w:ascii="Arial" w:eastAsia="Arial" w:hAnsi="Arial" w:cs="Arial"/>
          <w:color w:val="1A1A1A"/>
        </w:rPr>
      </w:pPr>
    </w:p>
    <w:p w14:paraId="5290DF52" w14:textId="77777777" w:rsidR="002B560F" w:rsidRDefault="002B560F">
      <w:pPr>
        <w:spacing w:before="80" w:after="80"/>
        <w:rPr>
          <w:rFonts w:ascii="Arial" w:hAnsi="Arial" w:cs="Arial"/>
          <w:b/>
          <w:bCs/>
        </w:rPr>
      </w:pPr>
    </w:p>
    <w:p w14:paraId="5AA0C037" w14:textId="77777777" w:rsidR="002B560F" w:rsidRDefault="002B560F">
      <w:pPr>
        <w:spacing w:before="80" w:after="80"/>
        <w:rPr>
          <w:rFonts w:ascii="Arial" w:hAnsi="Arial" w:cs="Arial"/>
          <w:b/>
          <w:bCs/>
        </w:rPr>
      </w:pPr>
    </w:p>
    <w:p w14:paraId="6B792C75" w14:textId="63FAE947" w:rsidR="002B560F" w:rsidRPr="002B560F" w:rsidRDefault="002B560F">
      <w:pPr>
        <w:spacing w:before="80" w:after="80"/>
        <w:rPr>
          <w:rFonts w:ascii="Arial" w:hAnsi="Arial" w:cs="Arial"/>
        </w:rPr>
      </w:pPr>
      <w:r w:rsidRPr="002B560F">
        <w:rPr>
          <w:rFonts w:ascii="Arial" w:hAnsi="Arial" w:cs="Arial"/>
          <w:b/>
          <w:bCs/>
        </w:rPr>
        <w:t xml:space="preserve">Disclaimer </w:t>
      </w:r>
      <w:r w:rsidRPr="002B560F">
        <w:rPr>
          <w:rFonts w:ascii="Arial" w:hAnsi="Arial" w:cs="Arial"/>
        </w:rPr>
        <w:t>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w:t>
      </w:r>
    </w:p>
    <w:sectPr w:rsidR="002B560F" w:rsidRPr="002B560F">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4F81" w14:textId="77777777" w:rsidR="00964CAA" w:rsidRDefault="00964CAA">
      <w:r>
        <w:separator/>
      </w:r>
    </w:p>
  </w:endnote>
  <w:endnote w:type="continuationSeparator" w:id="0">
    <w:p w14:paraId="25FE99DC" w14:textId="77777777" w:rsidR="00964CAA" w:rsidRDefault="0096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F0A" w14:textId="7FCD17EA" w:rsidR="00932DC5" w:rsidRDefault="00AC0C20">
    <w:pPr>
      <w:pBdr>
        <w:top w:val="single" w:sz="4" w:space="0" w:color="5B2D8E"/>
      </w:pBdr>
      <w:spacing w:before="120"/>
    </w:pPr>
    <w:r>
      <w:rPr>
        <w:rFonts w:ascii="Arial" w:eastAsia="Arial" w:hAnsi="Arial" w:cs="Arial"/>
        <w:color w:val="555555"/>
        <w:sz w:val="15"/>
        <w:szCs w:val="15"/>
      </w:rPr>
      <w:t>Provided by the Institute of Directors</w:t>
    </w:r>
    <w:r w:rsidR="005767EF">
      <w:rPr>
        <w:rFonts w:ascii="Arial" w:eastAsia="Arial" w:hAnsi="Arial" w:cs="Arial"/>
        <w:color w:val="555555"/>
        <w:sz w:val="15"/>
        <w:szCs w:val="15"/>
      </w:rPr>
      <w:t xml:space="preserve"> (IoD)</w:t>
    </w:r>
    <w:r>
      <w:rPr>
        <w:rFonts w:ascii="Arial" w:eastAsia="Arial" w:hAnsi="Arial" w:cs="Arial"/>
        <w:color w:val="555555"/>
        <w:sz w:val="15"/>
        <w:szCs w:val="15"/>
      </w:rPr>
      <w:t xml:space="preserve">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FE99" w14:textId="77777777" w:rsidR="00964CAA" w:rsidRDefault="00964CAA">
      <w:r>
        <w:separator/>
      </w:r>
    </w:p>
  </w:footnote>
  <w:footnote w:type="continuationSeparator" w:id="0">
    <w:p w14:paraId="79748515" w14:textId="77777777" w:rsidR="00964CAA" w:rsidRDefault="0096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576D" w14:textId="50C96381" w:rsidR="00932DC5" w:rsidRDefault="00AC0C20">
    <w:pPr>
      <w:pBdr>
        <w:bottom w:val="single" w:sz="4" w:space="0" w:color="5B2D8E"/>
      </w:pBdr>
      <w:spacing w:after="160"/>
      <w:jc w:val="right"/>
    </w:pPr>
    <w:r>
      <w:rPr>
        <w:rFonts w:ascii="Arial" w:eastAsia="Arial" w:hAnsi="Arial" w:cs="Arial"/>
        <w:color w:val="555555"/>
        <w:sz w:val="17"/>
        <w:szCs w:val="17"/>
      </w:rPr>
      <w:t xml:space="preserve">IoD AI Governance </w:t>
    </w:r>
    <w:r w:rsidR="002B560F">
      <w:rPr>
        <w:rFonts w:ascii="Arial" w:eastAsia="Arial" w:hAnsi="Arial" w:cs="Arial"/>
        <w:color w:val="555555"/>
        <w:sz w:val="17"/>
        <w:szCs w:val="17"/>
      </w:rPr>
      <w:t>Toolkit · Tool</w:t>
    </w:r>
    <w:r>
      <w:rPr>
        <w:rFonts w:ascii="Arial" w:eastAsia="Arial" w:hAnsi="Arial" w:cs="Arial"/>
        <w:color w:val="555555"/>
        <w:sz w:val="17"/>
        <w:szCs w:val="17"/>
      </w:rPr>
      <w:t xml:space="preserve"> </w:t>
    </w:r>
    <w:r w:rsidR="002B560F">
      <w:rPr>
        <w:rFonts w:ascii="Arial" w:eastAsia="Arial" w:hAnsi="Arial" w:cs="Arial"/>
        <w:color w:val="555555"/>
        <w:sz w:val="17"/>
        <w:szCs w:val="17"/>
      </w:rPr>
      <w:t>3.1 · Facilitation</w:t>
    </w:r>
    <w:r>
      <w:rPr>
        <w:rFonts w:ascii="Arial" w:eastAsia="Arial" w:hAnsi="Arial" w:cs="Arial"/>
        <w:color w:val="555555"/>
        <w:sz w:val="17"/>
        <w:szCs w:val="17"/>
      </w:rPr>
      <w:t xml:space="preserve"> &amp; Implementation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0E4"/>
    <w:multiLevelType w:val="hybridMultilevel"/>
    <w:tmpl w:val="98C42DCC"/>
    <w:lvl w:ilvl="0" w:tplc="630A155C">
      <w:start w:val="1"/>
      <w:numFmt w:val="bullet"/>
      <w:lvlText w:val="●"/>
      <w:lvlJc w:val="left"/>
      <w:pPr>
        <w:ind w:left="720" w:hanging="360"/>
      </w:pPr>
    </w:lvl>
    <w:lvl w:ilvl="1" w:tplc="D234CEA0">
      <w:start w:val="1"/>
      <w:numFmt w:val="bullet"/>
      <w:lvlText w:val="○"/>
      <w:lvlJc w:val="left"/>
      <w:pPr>
        <w:ind w:left="1440" w:hanging="360"/>
      </w:pPr>
    </w:lvl>
    <w:lvl w:ilvl="2" w:tplc="735895A2">
      <w:start w:val="1"/>
      <w:numFmt w:val="bullet"/>
      <w:lvlText w:val="■"/>
      <w:lvlJc w:val="left"/>
      <w:pPr>
        <w:ind w:left="2160" w:hanging="360"/>
      </w:pPr>
    </w:lvl>
    <w:lvl w:ilvl="3" w:tplc="0A0CDAEA">
      <w:start w:val="1"/>
      <w:numFmt w:val="bullet"/>
      <w:lvlText w:val="●"/>
      <w:lvlJc w:val="left"/>
      <w:pPr>
        <w:ind w:left="2880" w:hanging="360"/>
      </w:pPr>
    </w:lvl>
    <w:lvl w:ilvl="4" w:tplc="E3DE404C">
      <w:start w:val="1"/>
      <w:numFmt w:val="bullet"/>
      <w:lvlText w:val="○"/>
      <w:lvlJc w:val="left"/>
      <w:pPr>
        <w:ind w:left="3600" w:hanging="360"/>
      </w:pPr>
    </w:lvl>
    <w:lvl w:ilvl="5" w:tplc="12E66B08">
      <w:start w:val="1"/>
      <w:numFmt w:val="bullet"/>
      <w:lvlText w:val="■"/>
      <w:lvlJc w:val="left"/>
      <w:pPr>
        <w:ind w:left="4320" w:hanging="360"/>
      </w:pPr>
    </w:lvl>
    <w:lvl w:ilvl="6" w:tplc="A1DE49EC">
      <w:start w:val="1"/>
      <w:numFmt w:val="bullet"/>
      <w:lvlText w:val="●"/>
      <w:lvlJc w:val="left"/>
      <w:pPr>
        <w:ind w:left="5040" w:hanging="360"/>
      </w:pPr>
    </w:lvl>
    <w:lvl w:ilvl="7" w:tplc="6E762AFA">
      <w:start w:val="1"/>
      <w:numFmt w:val="bullet"/>
      <w:lvlText w:val="●"/>
      <w:lvlJc w:val="left"/>
      <w:pPr>
        <w:ind w:left="5760" w:hanging="360"/>
      </w:pPr>
    </w:lvl>
    <w:lvl w:ilvl="8" w:tplc="0DF23C5E">
      <w:start w:val="1"/>
      <w:numFmt w:val="bullet"/>
      <w:lvlText w:val="●"/>
      <w:lvlJc w:val="left"/>
      <w:pPr>
        <w:ind w:left="6480" w:hanging="360"/>
      </w:pPr>
    </w:lvl>
  </w:abstractNum>
  <w:abstractNum w:abstractNumId="1" w15:restartNumberingAfterBreak="0">
    <w:nsid w:val="6B3B0690"/>
    <w:multiLevelType w:val="hybridMultilevel"/>
    <w:tmpl w:val="C7E2A1C0"/>
    <w:lvl w:ilvl="0" w:tplc="C89C8502">
      <w:start w:val="1"/>
      <w:numFmt w:val="bullet"/>
      <w:lvlText w:val="•"/>
      <w:lvlJc w:val="left"/>
      <w:pPr>
        <w:ind w:left="720" w:hanging="360"/>
      </w:pPr>
    </w:lvl>
    <w:lvl w:ilvl="1" w:tplc="019AE15C">
      <w:numFmt w:val="decimal"/>
      <w:lvlText w:val=""/>
      <w:lvlJc w:val="left"/>
    </w:lvl>
    <w:lvl w:ilvl="2" w:tplc="3E84A93A">
      <w:numFmt w:val="decimal"/>
      <w:lvlText w:val=""/>
      <w:lvlJc w:val="left"/>
    </w:lvl>
    <w:lvl w:ilvl="3" w:tplc="84A07552">
      <w:numFmt w:val="decimal"/>
      <w:lvlText w:val=""/>
      <w:lvlJc w:val="left"/>
    </w:lvl>
    <w:lvl w:ilvl="4" w:tplc="6A18AA2E">
      <w:numFmt w:val="decimal"/>
      <w:lvlText w:val=""/>
      <w:lvlJc w:val="left"/>
    </w:lvl>
    <w:lvl w:ilvl="5" w:tplc="1468570E">
      <w:numFmt w:val="decimal"/>
      <w:lvlText w:val=""/>
      <w:lvlJc w:val="left"/>
    </w:lvl>
    <w:lvl w:ilvl="6" w:tplc="33628B4E">
      <w:numFmt w:val="decimal"/>
      <w:lvlText w:val=""/>
      <w:lvlJc w:val="left"/>
    </w:lvl>
    <w:lvl w:ilvl="7" w:tplc="AE42B00C">
      <w:numFmt w:val="decimal"/>
      <w:lvlText w:val=""/>
      <w:lvlJc w:val="left"/>
    </w:lvl>
    <w:lvl w:ilvl="8" w:tplc="450E7D36">
      <w:numFmt w:val="decimal"/>
      <w:lvlText w:val=""/>
      <w:lvlJc w:val="left"/>
    </w:lvl>
  </w:abstractNum>
  <w:num w:numId="1" w16cid:durableId="1065303302">
    <w:abstractNumId w:val="0"/>
    <w:lvlOverride w:ilvl="0">
      <w:startOverride w:val="1"/>
    </w:lvlOverride>
  </w:num>
  <w:num w:numId="2" w16cid:durableId="10836020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C5"/>
    <w:rsid w:val="002B560F"/>
    <w:rsid w:val="005767EF"/>
    <w:rsid w:val="00932DC5"/>
    <w:rsid w:val="00964CAA"/>
    <w:rsid w:val="00AC0C20"/>
    <w:rsid w:val="00D64F18"/>
    <w:rsid w:val="00EE28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8A10"/>
  <w15:docId w15:val="{F56F2692-5CDA-45D5-B071-961C1805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560F"/>
    <w:pPr>
      <w:tabs>
        <w:tab w:val="center" w:pos="4513"/>
        <w:tab w:val="right" w:pos="9026"/>
      </w:tabs>
    </w:pPr>
  </w:style>
  <w:style w:type="character" w:customStyle="1" w:styleId="HeaderChar">
    <w:name w:val="Header Char"/>
    <w:basedOn w:val="DefaultParagraphFont"/>
    <w:link w:val="Header"/>
    <w:uiPriority w:val="99"/>
    <w:rsid w:val="002B560F"/>
  </w:style>
  <w:style w:type="paragraph" w:styleId="Footer">
    <w:name w:val="footer"/>
    <w:basedOn w:val="Normal"/>
    <w:link w:val="FooterChar"/>
    <w:uiPriority w:val="99"/>
    <w:unhideWhenUsed/>
    <w:rsid w:val="002B560F"/>
    <w:pPr>
      <w:tabs>
        <w:tab w:val="center" w:pos="4513"/>
        <w:tab w:val="right" w:pos="9026"/>
      </w:tabs>
    </w:pPr>
  </w:style>
  <w:style w:type="character" w:customStyle="1" w:styleId="FooterChar">
    <w:name w:val="Footer Char"/>
    <w:basedOn w:val="DefaultParagraphFont"/>
    <w:link w:val="Footer"/>
    <w:uiPriority w:val="99"/>
    <w:rsid w:val="002B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Anne Mannion</cp:lastModifiedBy>
  <cp:revision>3</cp:revision>
  <dcterms:created xsi:type="dcterms:W3CDTF">2026-04-22T13:46:00Z</dcterms:created>
  <dcterms:modified xsi:type="dcterms:W3CDTF">2026-04-29T08:05:00Z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2026-04-22T13:46:19Z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46065dbb-dcee-49c1-87b7-31408505384c</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