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9071"/>
      </w:tblGrid>
      <w:tr w:rsidR="006A72CD" w14:paraId="0306FD33" w14:textId="77777777" w:rsidTr="00FC3791">
        <w:trPr>
          <w:tblHeader/>
        </w:trPr>
        <w:tc>
          <w:tcPr>
            <w:tcW w:w="9071" w:type="dxa"/>
            <w:tcBorders>
              <w:top w:val="single" w:sz="2" w:space="0" w:color="5F2EDB"/>
              <w:left w:val="single" w:sz="2" w:space="0" w:color="5F2EDB"/>
              <w:bottom w:val="single" w:sz="2" w:space="0" w:color="5F2EDB"/>
              <w:right w:val="single" w:sz="2" w:space="0" w:color="5F2EDB"/>
            </w:tcBorders>
            <w:shd w:val="clear" w:color="auto" w:fill="5F2EDB"/>
          </w:tcPr>
          <w:p w14:paraId="3BC192B0" w14:textId="77777777" w:rsidR="00FC3791" w:rsidRDefault="00FC3791">
            <w:pPr>
              <w:spacing w:before="240" w:after="40"/>
              <w:rPr>
                <w:rFonts w:eastAsia="Arial" w:cs="Arial"/>
                <w:b/>
                <w:color w:val="FFFFFF"/>
                <w:sz w:val="22"/>
              </w:rPr>
            </w:pPr>
            <w:r>
              <w:rPr>
                <w:rFonts w:eastAsia="Arial" w:cs="Arial"/>
                <w:b/>
                <w:color w:val="FFFFFF"/>
                <w:sz w:val="22"/>
              </w:rPr>
              <w:t xml:space="preserve">      </w:t>
            </w:r>
            <w:r>
              <w:rPr>
                <w:noProof/>
              </w:rPr>
              <w:drawing>
                <wp:inline distT="0" distB="0" distL="0" distR="0" wp14:anchorId="0BB2BF12" wp14:editId="6358C93D">
                  <wp:extent cx="1485900" cy="552450"/>
                  <wp:effectExtent l="0" t="0" r="0" b="0"/>
                  <wp:docPr id="2" name="Image 1" descr="Picture">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 1" descr="Picture">
                            <a:extLst>
                              <a:ext uri="{FF2B5EF4-FFF2-40B4-BE49-F238E27FC236}">
                                <a16:creationId xmlns:a16="http://schemas.microsoft.com/office/drawing/2014/main" id="{00000000-0008-0000-0000-000002000000}"/>
                              </a:ext>
                            </a:extLst>
                          </pic:cNvPr>
                          <pic:cNvPicPr/>
                        </pic:nvPicPr>
                        <pic:blipFill>
                          <a:blip r:embed="rId8" cstate="print"/>
                          <a:stretch>
                            <a:fillRect/>
                          </a:stretch>
                        </pic:blipFill>
                        <pic:spPr>
                          <a:xfrm>
                            <a:off x="0" y="0"/>
                            <a:ext cx="1485900" cy="552450"/>
                          </a:xfrm>
                          <a:prstGeom prst="rect">
                            <a:avLst/>
                          </a:prstGeom>
                          <a:ln>
                            <a:prstDash val="solid"/>
                          </a:ln>
                        </pic:spPr>
                      </pic:pic>
                    </a:graphicData>
                  </a:graphic>
                </wp:inline>
              </w:drawing>
            </w:r>
            <w:r>
              <w:rPr>
                <w:rFonts w:eastAsia="Arial" w:cs="Arial"/>
                <w:b/>
                <w:color w:val="FFFFFF"/>
                <w:sz w:val="22"/>
              </w:rPr>
              <w:t xml:space="preserve">                                                </w:t>
            </w:r>
          </w:p>
          <w:p w14:paraId="70518BFE" w14:textId="7D930F3A" w:rsidR="006A72CD" w:rsidRDefault="00FC3791">
            <w:pPr>
              <w:spacing w:before="240" w:after="40"/>
            </w:pPr>
            <w:r>
              <w:rPr>
                <w:rFonts w:eastAsia="Arial" w:cs="Arial"/>
                <w:b/>
                <w:color w:val="FFFFFF"/>
                <w:sz w:val="22"/>
              </w:rPr>
              <w:t xml:space="preserve">      </w:t>
            </w:r>
            <w:r w:rsidR="00000000">
              <w:rPr>
                <w:rFonts w:eastAsia="Arial" w:cs="Arial"/>
                <w:b/>
                <w:color w:val="FFFFFF"/>
                <w:sz w:val="22"/>
              </w:rPr>
              <w:t>IoD</w:t>
            </w:r>
            <w:r>
              <w:rPr>
                <w:rFonts w:eastAsia="Arial" w:cs="Arial"/>
                <w:b/>
                <w:color w:val="FFFFFF"/>
                <w:sz w:val="22"/>
              </w:rPr>
              <w:t xml:space="preserve"> Ireland</w:t>
            </w:r>
            <w:r w:rsidR="00000000">
              <w:rPr>
                <w:rFonts w:eastAsia="Arial" w:cs="Arial"/>
                <w:b/>
                <w:color w:val="FFFFFF"/>
                <w:sz w:val="22"/>
              </w:rPr>
              <w:t xml:space="preserve"> AI GOVERNANCE TOOLKIT</w:t>
            </w:r>
          </w:p>
          <w:p w14:paraId="03748D62" w14:textId="5EA74987" w:rsidR="006A72CD" w:rsidRDefault="00FC3791">
            <w:pPr>
              <w:spacing w:after="160"/>
            </w:pPr>
            <w:r>
              <w:rPr>
                <w:rFonts w:eastAsia="Arial" w:cs="Arial"/>
                <w:color w:val="DDDDDD"/>
                <w:sz w:val="20"/>
              </w:rPr>
              <w:t xml:space="preserve">      </w:t>
            </w:r>
            <w:r w:rsidR="00000000">
              <w:rPr>
                <w:rFonts w:eastAsia="Arial" w:cs="Arial"/>
                <w:color w:val="DDDDDD"/>
                <w:sz w:val="20"/>
              </w:rPr>
              <w:t>Tool 4 — Category: Make It Real</w:t>
            </w:r>
          </w:p>
          <w:p w14:paraId="296090B1" w14:textId="162E8537" w:rsidR="006A72CD" w:rsidRDefault="00FC3791">
            <w:pPr>
              <w:spacing w:after="80"/>
            </w:pPr>
            <w:r>
              <w:rPr>
                <w:rFonts w:eastAsia="Arial" w:cs="Arial"/>
                <w:b/>
                <w:color w:val="FFFFFF"/>
                <w:sz w:val="44"/>
              </w:rPr>
              <w:t xml:space="preserve">   </w:t>
            </w:r>
            <w:r w:rsidR="00000000">
              <w:rPr>
                <w:rFonts w:eastAsia="Arial" w:cs="Arial"/>
                <w:b/>
                <w:color w:val="FFFFFF"/>
                <w:sz w:val="44"/>
              </w:rPr>
              <w:t>AI Quick Wins Planner</w:t>
            </w:r>
          </w:p>
          <w:p w14:paraId="789B9098" w14:textId="102B4AF2" w:rsidR="006A72CD" w:rsidRDefault="00FC3791">
            <w:pPr>
              <w:spacing w:after="240"/>
            </w:pPr>
            <w:r>
              <w:rPr>
                <w:rFonts w:eastAsia="Arial" w:cs="Arial"/>
                <w:iCs/>
                <w:color w:val="EAEAEA"/>
                <w:sz w:val="26"/>
              </w:rPr>
              <w:t xml:space="preserve">    </w:t>
            </w:r>
            <w:r w:rsidR="00000000" w:rsidRPr="00FC3791">
              <w:rPr>
                <w:rFonts w:eastAsia="Arial" w:cs="Arial"/>
                <w:iCs/>
                <w:color w:val="EAEAEA"/>
                <w:sz w:val="26"/>
              </w:rPr>
              <w:t xml:space="preserve">How to use this tool — the full landing-page guidance, captured here so </w:t>
            </w:r>
            <w:r>
              <w:rPr>
                <w:rFonts w:eastAsia="Arial" w:cs="Arial"/>
                <w:iCs/>
                <w:color w:val="EAEAEA"/>
                <w:sz w:val="26"/>
              </w:rPr>
              <w:br/>
              <w:t xml:space="preserve">    </w:t>
            </w:r>
            <w:r w:rsidR="00000000" w:rsidRPr="00FC3791">
              <w:rPr>
                <w:rFonts w:eastAsia="Arial" w:cs="Arial"/>
                <w:iCs/>
                <w:color w:val="EAEAEA"/>
                <w:sz w:val="26"/>
              </w:rPr>
              <w:t xml:space="preserve">you can </w:t>
            </w:r>
            <w:proofErr w:type="gramStart"/>
            <w:r w:rsidR="00000000" w:rsidRPr="00FC3791">
              <w:rPr>
                <w:rFonts w:eastAsia="Arial" w:cs="Arial"/>
                <w:iCs/>
                <w:color w:val="EAEAEA"/>
                <w:sz w:val="26"/>
              </w:rPr>
              <w:t>refer back</w:t>
            </w:r>
            <w:proofErr w:type="gramEnd"/>
            <w:r w:rsidR="00000000" w:rsidRPr="00FC3791">
              <w:rPr>
                <w:rFonts w:eastAsia="Arial" w:cs="Arial"/>
                <w:iCs/>
                <w:color w:val="EAEAEA"/>
                <w:sz w:val="26"/>
              </w:rPr>
              <w:t xml:space="preserve"> to it offline</w:t>
            </w:r>
            <w:r w:rsidR="00000000">
              <w:rPr>
                <w:rFonts w:eastAsia="Arial" w:cs="Arial"/>
                <w:i/>
                <w:color w:val="EAEAEA"/>
                <w:sz w:val="26"/>
              </w:rPr>
              <w:t>.</w:t>
            </w:r>
          </w:p>
        </w:tc>
      </w:tr>
    </w:tbl>
    <w:p w14:paraId="3E2C493F" w14:textId="77777777" w:rsidR="006A72CD" w:rsidRDefault="006A72CD"/>
    <w:p w14:paraId="2DE33739" w14:textId="77777777" w:rsidR="006A72CD" w:rsidRDefault="00000000">
      <w:pPr>
        <w:spacing w:before="200" w:after="80"/>
      </w:pPr>
      <w:r>
        <w:rPr>
          <w:rFonts w:eastAsia="Arial" w:cs="Arial"/>
          <w:b/>
          <w:color w:val="5B2D8E"/>
          <w:sz w:val="22"/>
        </w:rPr>
        <w:t>Tool Details</w:t>
      </w:r>
    </w:p>
    <w:tbl>
      <w:tblPr>
        <w:tblW w:w="0" w:type="auto"/>
        <w:tblLayout w:type="fixed"/>
        <w:tblLook w:val="04A0" w:firstRow="1" w:lastRow="0" w:firstColumn="1" w:lastColumn="0" w:noHBand="0" w:noVBand="1"/>
      </w:tblPr>
      <w:tblGrid>
        <w:gridCol w:w="2551"/>
        <w:gridCol w:w="6520"/>
      </w:tblGrid>
      <w:tr w:rsidR="006A72CD" w14:paraId="1A48089E" w14:textId="77777777">
        <w:trPr>
          <w:tblHeader/>
        </w:trPr>
        <w:tc>
          <w:tcPr>
            <w:tcW w:w="2551" w:type="dxa"/>
            <w:tcBorders>
              <w:top w:val="single" w:sz="4" w:space="0" w:color="CCCCCC"/>
              <w:left w:val="single" w:sz="4" w:space="0" w:color="CCCCCC"/>
              <w:bottom w:val="single" w:sz="4" w:space="0" w:color="CCCCCC"/>
              <w:right w:val="single" w:sz="4" w:space="0" w:color="CCCCCC"/>
            </w:tcBorders>
            <w:shd w:val="clear" w:color="auto" w:fill="CDC1F1"/>
          </w:tcPr>
          <w:p w14:paraId="00CA4E8B" w14:textId="77777777" w:rsidR="006A72CD" w:rsidRDefault="00000000">
            <w:proofErr w:type="spellStart"/>
            <w:r>
              <w:rPr>
                <w:rFonts w:eastAsia="Arial" w:cs="Arial"/>
                <w:b/>
                <w:color w:val="5B2D8E"/>
                <w:sz w:val="20"/>
              </w:rPr>
              <w:t>Organisation</w:t>
            </w:r>
            <w:proofErr w:type="spellEnd"/>
          </w:p>
        </w:tc>
        <w:tc>
          <w:tcPr>
            <w:tcW w:w="6520" w:type="dxa"/>
            <w:tcBorders>
              <w:top w:val="single" w:sz="4" w:space="0" w:color="CCCCCC"/>
              <w:left w:val="single" w:sz="4" w:space="0" w:color="CCCCCC"/>
              <w:bottom w:val="single" w:sz="4" w:space="0" w:color="CCCCCC"/>
              <w:right w:val="single" w:sz="4" w:space="0" w:color="CCCCCC"/>
            </w:tcBorders>
            <w:shd w:val="clear" w:color="auto" w:fill="FFFFFF"/>
          </w:tcPr>
          <w:p w14:paraId="6C33CCE3" w14:textId="77777777" w:rsidR="006A72CD" w:rsidRDefault="00000000">
            <w:r>
              <w:rPr>
                <w:rFonts w:eastAsia="Arial" w:cs="Arial"/>
                <w:color w:val="1A1A1A"/>
                <w:sz w:val="20"/>
              </w:rPr>
              <w:t xml:space="preserve">[Enter </w:t>
            </w:r>
            <w:proofErr w:type="spellStart"/>
            <w:r>
              <w:rPr>
                <w:rFonts w:eastAsia="Arial" w:cs="Arial"/>
                <w:color w:val="1A1A1A"/>
                <w:sz w:val="20"/>
              </w:rPr>
              <w:t>organisation</w:t>
            </w:r>
            <w:proofErr w:type="spellEnd"/>
            <w:r>
              <w:rPr>
                <w:rFonts w:eastAsia="Arial" w:cs="Arial"/>
                <w:color w:val="1A1A1A"/>
                <w:sz w:val="20"/>
              </w:rPr>
              <w:t xml:space="preserve"> name]</w:t>
            </w:r>
          </w:p>
        </w:tc>
      </w:tr>
      <w:tr w:rsidR="006A72CD" w14:paraId="57B79903" w14:textId="77777777">
        <w:tc>
          <w:tcPr>
            <w:tcW w:w="2551" w:type="dxa"/>
            <w:tcBorders>
              <w:top w:val="single" w:sz="4" w:space="0" w:color="CCCCCC"/>
              <w:left w:val="single" w:sz="4" w:space="0" w:color="CCCCCC"/>
              <w:bottom w:val="single" w:sz="4" w:space="0" w:color="CCCCCC"/>
              <w:right w:val="single" w:sz="4" w:space="0" w:color="CCCCCC"/>
            </w:tcBorders>
            <w:shd w:val="clear" w:color="auto" w:fill="CDC1F1"/>
          </w:tcPr>
          <w:p w14:paraId="587F66D8" w14:textId="77777777" w:rsidR="006A72CD" w:rsidRDefault="00000000">
            <w:r>
              <w:rPr>
                <w:rFonts w:eastAsia="Arial" w:cs="Arial"/>
                <w:b/>
                <w:color w:val="5B2D8E"/>
                <w:sz w:val="20"/>
              </w:rPr>
              <w:t>Prepared by</w:t>
            </w:r>
          </w:p>
        </w:tc>
        <w:tc>
          <w:tcPr>
            <w:tcW w:w="6520" w:type="dxa"/>
            <w:tcBorders>
              <w:top w:val="single" w:sz="4" w:space="0" w:color="CCCCCC"/>
              <w:left w:val="single" w:sz="4" w:space="0" w:color="CCCCCC"/>
              <w:bottom w:val="single" w:sz="4" w:space="0" w:color="CCCCCC"/>
              <w:right w:val="single" w:sz="4" w:space="0" w:color="CCCCCC"/>
            </w:tcBorders>
            <w:shd w:val="clear" w:color="auto" w:fill="FFFFFF"/>
          </w:tcPr>
          <w:p w14:paraId="2A995751" w14:textId="77777777" w:rsidR="006A72CD" w:rsidRDefault="00000000">
            <w:r>
              <w:rPr>
                <w:rFonts w:eastAsia="Arial" w:cs="Arial"/>
                <w:color w:val="1A1A1A"/>
                <w:sz w:val="20"/>
              </w:rPr>
              <w:t>[Director / senior leader name]</w:t>
            </w:r>
          </w:p>
        </w:tc>
      </w:tr>
      <w:tr w:rsidR="006A72CD" w14:paraId="4CBF76F5" w14:textId="77777777">
        <w:tc>
          <w:tcPr>
            <w:tcW w:w="2551" w:type="dxa"/>
            <w:tcBorders>
              <w:top w:val="single" w:sz="4" w:space="0" w:color="CCCCCC"/>
              <w:left w:val="single" w:sz="4" w:space="0" w:color="CCCCCC"/>
              <w:bottom w:val="single" w:sz="4" w:space="0" w:color="CCCCCC"/>
              <w:right w:val="single" w:sz="4" w:space="0" w:color="CCCCCC"/>
            </w:tcBorders>
            <w:shd w:val="clear" w:color="auto" w:fill="CDC1F1"/>
          </w:tcPr>
          <w:p w14:paraId="3975F915" w14:textId="77777777" w:rsidR="006A72CD" w:rsidRDefault="00000000">
            <w:r>
              <w:rPr>
                <w:rFonts w:eastAsia="Arial" w:cs="Arial"/>
                <w:b/>
                <w:color w:val="5B2D8E"/>
                <w:sz w:val="20"/>
              </w:rPr>
              <w:t>Date</w:t>
            </w:r>
          </w:p>
        </w:tc>
        <w:tc>
          <w:tcPr>
            <w:tcW w:w="6520" w:type="dxa"/>
            <w:tcBorders>
              <w:top w:val="single" w:sz="4" w:space="0" w:color="CCCCCC"/>
              <w:left w:val="single" w:sz="4" w:space="0" w:color="CCCCCC"/>
              <w:bottom w:val="single" w:sz="4" w:space="0" w:color="CCCCCC"/>
              <w:right w:val="single" w:sz="4" w:space="0" w:color="CCCCCC"/>
            </w:tcBorders>
            <w:shd w:val="clear" w:color="auto" w:fill="FFFFFF"/>
          </w:tcPr>
          <w:p w14:paraId="7DE1712B" w14:textId="77777777" w:rsidR="006A72CD" w:rsidRDefault="00000000">
            <w:r>
              <w:rPr>
                <w:rFonts w:eastAsia="Arial" w:cs="Arial"/>
                <w:color w:val="1A1A1A"/>
                <w:sz w:val="20"/>
              </w:rPr>
              <w:t>[DD Month YYYY]</w:t>
            </w:r>
          </w:p>
        </w:tc>
      </w:tr>
      <w:tr w:rsidR="006A72CD" w14:paraId="5F287C36" w14:textId="77777777">
        <w:tc>
          <w:tcPr>
            <w:tcW w:w="2551" w:type="dxa"/>
            <w:tcBorders>
              <w:top w:val="single" w:sz="4" w:space="0" w:color="CCCCCC"/>
              <w:left w:val="single" w:sz="4" w:space="0" w:color="CCCCCC"/>
              <w:bottom w:val="single" w:sz="4" w:space="0" w:color="CCCCCC"/>
              <w:right w:val="single" w:sz="4" w:space="0" w:color="CCCCCC"/>
            </w:tcBorders>
            <w:shd w:val="clear" w:color="auto" w:fill="CDC1F1"/>
          </w:tcPr>
          <w:p w14:paraId="6843640D" w14:textId="77777777" w:rsidR="006A72CD" w:rsidRDefault="00000000">
            <w:r>
              <w:rPr>
                <w:rFonts w:eastAsia="Arial" w:cs="Arial"/>
                <w:b/>
                <w:color w:val="5B2D8E"/>
                <w:sz w:val="20"/>
              </w:rPr>
              <w:t>Tool version</w:t>
            </w:r>
          </w:p>
        </w:tc>
        <w:tc>
          <w:tcPr>
            <w:tcW w:w="6520" w:type="dxa"/>
            <w:tcBorders>
              <w:top w:val="single" w:sz="4" w:space="0" w:color="CCCCCC"/>
              <w:left w:val="single" w:sz="4" w:space="0" w:color="CCCCCC"/>
              <w:bottom w:val="single" w:sz="4" w:space="0" w:color="CCCCCC"/>
              <w:right w:val="single" w:sz="4" w:space="0" w:color="CCCCCC"/>
            </w:tcBorders>
            <w:shd w:val="clear" w:color="auto" w:fill="FFFFFF"/>
          </w:tcPr>
          <w:p w14:paraId="7C6238C3" w14:textId="584849DB" w:rsidR="006A72CD" w:rsidRDefault="00000000" w:rsidP="00FC3791">
            <w:pPr>
              <w:pStyle w:val="ListParagraph"/>
              <w:numPr>
                <w:ilvl w:val="0"/>
                <w:numId w:val="10"/>
              </w:numPr>
            </w:pPr>
            <w:r w:rsidRPr="00FC3791">
              <w:rPr>
                <w:rFonts w:eastAsia="Arial" w:cs="Arial"/>
                <w:color w:val="1A1A1A"/>
                <w:sz w:val="20"/>
              </w:rPr>
              <w:t>June 2026</w:t>
            </w:r>
          </w:p>
        </w:tc>
      </w:tr>
    </w:tbl>
    <w:p w14:paraId="2F3208B2" w14:textId="77777777" w:rsidR="006A72CD" w:rsidRDefault="006A72CD"/>
    <w:tbl>
      <w:tblPr>
        <w:tblW w:w="0" w:type="auto"/>
        <w:tblLayout w:type="fixed"/>
        <w:tblLook w:val="04A0" w:firstRow="1" w:lastRow="0" w:firstColumn="1" w:lastColumn="0" w:noHBand="0" w:noVBand="1"/>
      </w:tblPr>
      <w:tblGrid>
        <w:gridCol w:w="9071"/>
      </w:tblGrid>
      <w:tr w:rsidR="006A72CD" w14:paraId="2250954D" w14:textId="77777777" w:rsidTr="00FC3791">
        <w:trPr>
          <w:tblHeader/>
        </w:trPr>
        <w:tc>
          <w:tcPr>
            <w:tcW w:w="9071" w:type="dxa"/>
            <w:shd w:val="clear" w:color="auto" w:fill="CDC1F1"/>
          </w:tcPr>
          <w:p w14:paraId="2227B1CE" w14:textId="77777777" w:rsidR="00FC3791" w:rsidRDefault="00FC3791">
            <w:pPr>
              <w:spacing w:after="40"/>
              <w:rPr>
                <w:rFonts w:eastAsia="Arial" w:cs="Arial"/>
                <w:b/>
                <w:color w:val="7B52AE"/>
                <w:sz w:val="18"/>
              </w:rPr>
            </w:pPr>
          </w:p>
          <w:p w14:paraId="2D846FC7" w14:textId="43760842" w:rsidR="006A72CD" w:rsidRDefault="00000000">
            <w:pPr>
              <w:spacing w:after="40"/>
              <w:rPr>
                <w:rFonts w:eastAsia="Arial" w:cs="Arial"/>
                <w:b/>
                <w:color w:val="7B52AE"/>
                <w:sz w:val="18"/>
              </w:rPr>
            </w:pPr>
            <w:r>
              <w:rPr>
                <w:rFonts w:eastAsia="Arial" w:cs="Arial"/>
                <w:b/>
                <w:color w:val="7B52AE"/>
                <w:sz w:val="18"/>
              </w:rPr>
              <w:t>WHY THIS EXISTS</w:t>
            </w:r>
          </w:p>
          <w:p w14:paraId="4CC0FA56" w14:textId="08D03874" w:rsidR="00FC3791" w:rsidRDefault="00000000" w:rsidP="00FC3791">
            <w:r>
              <w:rPr>
                <w:rFonts w:eastAsia="Arial" w:cs="Arial"/>
                <w:color w:val="1A1A1A"/>
              </w:rPr>
              <w:t>Each tool's landing page and instruction guide are designed to be self-contained</w:t>
            </w:r>
            <w:r w:rsidR="00FC3791">
              <w:rPr>
                <w:rFonts w:eastAsia="Arial" w:cs="Arial"/>
                <w:color w:val="1A1A1A"/>
              </w:rPr>
              <w:t>. Y</w:t>
            </w:r>
            <w:r>
              <w:rPr>
                <w:rFonts w:eastAsia="Arial" w:cs="Arial"/>
                <w:color w:val="1A1A1A"/>
              </w:rPr>
              <w:t xml:space="preserve">ou can </w:t>
            </w:r>
            <w:proofErr w:type="gramStart"/>
            <w:r>
              <w:rPr>
                <w:rFonts w:eastAsia="Arial" w:cs="Arial"/>
                <w:color w:val="1A1A1A"/>
              </w:rPr>
              <w:t>refer back</w:t>
            </w:r>
            <w:proofErr w:type="gramEnd"/>
            <w:r>
              <w:rPr>
                <w:rFonts w:eastAsia="Arial" w:cs="Arial"/>
                <w:color w:val="1A1A1A"/>
              </w:rPr>
              <w:t xml:space="preserve"> to all guidance offline.</w:t>
            </w:r>
          </w:p>
        </w:tc>
      </w:tr>
    </w:tbl>
    <w:p w14:paraId="087C7F92" w14:textId="77777777" w:rsidR="006A72CD" w:rsidRDefault="006A72CD"/>
    <w:p w14:paraId="2B36BA4A" w14:textId="77777777" w:rsidR="006A72CD" w:rsidRDefault="00000000">
      <w:r>
        <w:br w:type="page"/>
      </w:r>
    </w:p>
    <w:p w14:paraId="13AFB4AB" w14:textId="77777777" w:rsidR="006A72CD" w:rsidRDefault="00000000">
      <w:pPr>
        <w:pBdr>
          <w:bottom w:val="single" w:sz="12" w:space="1" w:color="5B2D8E"/>
        </w:pBdr>
        <w:spacing w:before="280" w:after="160"/>
      </w:pPr>
      <w:r>
        <w:rPr>
          <w:rFonts w:eastAsia="Arial" w:cs="Arial"/>
          <w:b/>
          <w:color w:val="5B2D8E"/>
          <w:sz w:val="24"/>
        </w:rPr>
        <w:lastRenderedPageBreak/>
        <w:t>SECTION 1 — WHAT IT DOES</w:t>
      </w:r>
    </w:p>
    <w:p w14:paraId="12D748B7" w14:textId="77777777" w:rsidR="00821F53" w:rsidRPr="00821F53" w:rsidRDefault="00821F53">
      <w:pPr>
        <w:rPr>
          <w:rFonts w:eastAsia="Arial" w:cs="Arial"/>
          <w:color w:val="1A1A1A"/>
        </w:rPr>
      </w:pPr>
      <w:r w:rsidRPr="00821F53">
        <w:rPr>
          <w:rFonts w:eastAsia="Arial" w:cs="Arial"/>
          <w:color w:val="1A1A1A"/>
        </w:rPr>
        <w:t xml:space="preserve">The AI Quick Wins Planner helps directors and senior leaders find, screen and </w:t>
      </w:r>
      <w:proofErr w:type="spellStart"/>
      <w:r w:rsidRPr="00821F53">
        <w:rPr>
          <w:rFonts w:eastAsia="Arial" w:cs="Arial"/>
          <w:color w:val="1A1A1A"/>
        </w:rPr>
        <w:t>prioritise</w:t>
      </w:r>
      <w:proofErr w:type="spellEnd"/>
      <w:r w:rsidRPr="00821F53">
        <w:rPr>
          <w:rFonts w:eastAsia="Arial" w:cs="Arial"/>
          <w:color w:val="1A1A1A"/>
        </w:rPr>
        <w:t xml:space="preserve"> the AI opportunities most likely to deliver value inside 90 days. It's what turns "we should be doing more with AI" into a sponsored, measured, governed shortlist.</w:t>
      </w:r>
    </w:p>
    <w:p w14:paraId="1FD2EA6C" w14:textId="621DE1B3" w:rsidR="006A72CD" w:rsidRDefault="00821F53">
      <w:r w:rsidRPr="00821F53">
        <w:rPr>
          <w:rFonts w:eastAsia="Arial" w:cs="Arial"/>
          <w:color w:val="1A1A1A"/>
        </w:rPr>
        <w:t xml:space="preserve">What </w:t>
      </w:r>
      <w:proofErr w:type="gramStart"/>
      <w:r w:rsidRPr="00821F53">
        <w:rPr>
          <w:rFonts w:eastAsia="Arial" w:cs="Arial"/>
          <w:color w:val="1A1A1A"/>
        </w:rPr>
        <w:t>you</w:t>
      </w:r>
      <w:proofErr w:type="gramEnd"/>
      <w:r w:rsidRPr="00821F53">
        <w:rPr>
          <w:rFonts w:eastAsia="Arial" w:cs="Arial"/>
          <w:color w:val="1A1A1A"/>
        </w:rPr>
        <w:t xml:space="preserve"> get:</w:t>
      </w:r>
    </w:p>
    <w:p w14:paraId="7977F4AB" w14:textId="50CD43ED" w:rsidR="006A72CD" w:rsidRDefault="00000000">
      <w:pPr>
        <w:pStyle w:val="ListBullet"/>
        <w:spacing w:after="40"/>
      </w:pPr>
      <w:r>
        <w:rPr>
          <w:rFonts w:eastAsia="Arial" w:cs="Arial"/>
          <w:color w:val="1A1A1A"/>
        </w:rPr>
        <w:t xml:space="preserve">A working definition of an AI quick win that you can defend at </w:t>
      </w:r>
      <w:r w:rsidR="00FC3791">
        <w:rPr>
          <w:rFonts w:eastAsia="Arial" w:cs="Arial"/>
          <w:color w:val="1A1A1A"/>
        </w:rPr>
        <w:t>leadership team</w:t>
      </w:r>
      <w:r>
        <w:rPr>
          <w:rFonts w:eastAsia="Arial" w:cs="Arial"/>
          <w:color w:val="1A1A1A"/>
        </w:rPr>
        <w:t xml:space="preserve"> level.</w:t>
      </w:r>
    </w:p>
    <w:p w14:paraId="09F2303F" w14:textId="77777777" w:rsidR="006A72CD" w:rsidRDefault="00000000">
      <w:pPr>
        <w:pStyle w:val="ListBullet"/>
        <w:spacing w:after="40"/>
      </w:pPr>
      <w:r>
        <w:rPr>
          <w:rFonts w:eastAsia="Arial" w:cs="Arial"/>
          <w:color w:val="1A1A1A"/>
        </w:rPr>
        <w:t>A five-step process from sourcing to sponsorship.</w:t>
      </w:r>
    </w:p>
    <w:p w14:paraId="2B31988F" w14:textId="77777777" w:rsidR="006A72CD" w:rsidRDefault="00000000">
      <w:pPr>
        <w:pStyle w:val="ListBullet"/>
        <w:spacing w:after="40"/>
      </w:pPr>
      <w:r>
        <w:rPr>
          <w:rFonts w:eastAsia="Arial" w:cs="Arial"/>
          <w:color w:val="1A1A1A"/>
        </w:rPr>
        <w:t>A governance screen that uses your AI Use Policy (Tool 2) as the gate.</w:t>
      </w:r>
    </w:p>
    <w:p w14:paraId="28B67E37" w14:textId="77777777" w:rsidR="006A72CD" w:rsidRDefault="00000000">
      <w:pPr>
        <w:pStyle w:val="ListBullet"/>
        <w:spacing w:after="40"/>
      </w:pPr>
      <w:r>
        <w:rPr>
          <w:color w:val="1A1A1A"/>
        </w:rPr>
        <w:t>A plain-English scoring model — two Yes/Partly/No questions per candidate that auto-calculate the priority score.</w:t>
      </w:r>
    </w:p>
    <w:p w14:paraId="7C14DCC4" w14:textId="77777777" w:rsidR="006A72CD" w:rsidRDefault="00000000">
      <w:pPr>
        <w:pStyle w:val="ListBullet"/>
        <w:spacing w:after="40"/>
      </w:pPr>
      <w:r>
        <w:rPr>
          <w:rFonts w:eastAsia="Arial" w:cs="Arial"/>
          <w:color w:val="1A1A1A"/>
        </w:rPr>
        <w:t>Sponsor-brief templates for your top three priorities.</w:t>
      </w:r>
    </w:p>
    <w:p w14:paraId="476654C5" w14:textId="16D2D8DD" w:rsidR="006A72CD" w:rsidRPr="00FC3791" w:rsidRDefault="00000000">
      <w:pPr>
        <w:pStyle w:val="ListBullet"/>
        <w:spacing w:after="40"/>
      </w:pPr>
      <w:r>
        <w:rPr>
          <w:rFonts w:eastAsia="Arial" w:cs="Arial"/>
          <w:color w:val="1A1A1A"/>
        </w:rPr>
        <w:t>A measurement lock-in so quick wins are evidenced, not anecdotal.</w:t>
      </w:r>
    </w:p>
    <w:p w14:paraId="04545577" w14:textId="77777777" w:rsidR="00FC3791" w:rsidRPr="00FC3791" w:rsidRDefault="00FC3791" w:rsidP="00FC3791">
      <w:pPr>
        <w:pStyle w:val="ListBullet"/>
        <w:numPr>
          <w:ilvl w:val="0"/>
          <w:numId w:val="0"/>
        </w:numPr>
        <w:spacing w:after="40"/>
        <w:ind w:left="360"/>
      </w:pPr>
    </w:p>
    <w:tbl>
      <w:tblPr>
        <w:tblW w:w="0" w:type="auto"/>
        <w:tblLayout w:type="fixed"/>
        <w:tblLook w:val="04A0" w:firstRow="1" w:lastRow="0" w:firstColumn="1" w:lastColumn="0" w:noHBand="0" w:noVBand="1"/>
      </w:tblPr>
      <w:tblGrid>
        <w:gridCol w:w="9071"/>
      </w:tblGrid>
      <w:tr w:rsidR="006A72CD" w14:paraId="49111DFA" w14:textId="77777777" w:rsidTr="00FC3791">
        <w:trPr>
          <w:tblHeader/>
        </w:trPr>
        <w:tc>
          <w:tcPr>
            <w:tcW w:w="9071" w:type="dxa"/>
            <w:shd w:val="clear" w:color="auto" w:fill="CDC1F1"/>
          </w:tcPr>
          <w:p w14:paraId="3BCBED38" w14:textId="77777777" w:rsidR="00FC3791" w:rsidRDefault="00FC3791">
            <w:pPr>
              <w:spacing w:after="40"/>
              <w:rPr>
                <w:rFonts w:eastAsia="Arial" w:cs="Arial"/>
                <w:b/>
                <w:color w:val="7B52AE"/>
                <w:sz w:val="18"/>
              </w:rPr>
            </w:pPr>
          </w:p>
          <w:p w14:paraId="3BCEF64A" w14:textId="026A1C4A" w:rsidR="006A72CD" w:rsidRDefault="00000000">
            <w:pPr>
              <w:spacing w:after="40"/>
              <w:rPr>
                <w:rFonts w:eastAsia="Arial" w:cs="Arial"/>
                <w:b/>
                <w:color w:val="7B52AE"/>
                <w:sz w:val="18"/>
              </w:rPr>
            </w:pPr>
            <w:r>
              <w:rPr>
                <w:rFonts w:eastAsia="Arial" w:cs="Arial"/>
                <w:b/>
                <w:color w:val="7B52AE"/>
                <w:sz w:val="18"/>
              </w:rPr>
              <w:t>AI SCOPE</w:t>
            </w:r>
          </w:p>
          <w:p w14:paraId="0DCB3DDE" w14:textId="59C37F3E" w:rsidR="006A72CD" w:rsidRDefault="00000000">
            <w:r>
              <w:rPr>
                <w:rFonts w:eastAsia="Arial" w:cs="Arial"/>
                <w:color w:val="1A1A1A"/>
              </w:rPr>
              <w:t>Quick wins are not limited to generative AI. They include AI-assisted analytics, automation platforms, and any tool with a significant AI component</w:t>
            </w:r>
            <w:r w:rsidR="00FC3791">
              <w:rPr>
                <w:rFonts w:eastAsia="Arial" w:cs="Arial"/>
                <w:color w:val="1A1A1A"/>
              </w:rPr>
              <w:t xml:space="preserve">, </w:t>
            </w:r>
            <w:r>
              <w:rPr>
                <w:rFonts w:eastAsia="Arial" w:cs="Arial"/>
                <w:color w:val="1A1A1A"/>
              </w:rPr>
              <w:t>wherever real value can be proven inside a quarter.</w:t>
            </w:r>
          </w:p>
        </w:tc>
      </w:tr>
    </w:tbl>
    <w:p w14:paraId="30B7DFBB" w14:textId="77777777" w:rsidR="006A72CD" w:rsidRDefault="006A72CD"/>
    <w:p w14:paraId="190ECF98" w14:textId="77777777" w:rsidR="006A72CD" w:rsidRDefault="00000000">
      <w:pPr>
        <w:pBdr>
          <w:bottom w:val="single" w:sz="12" w:space="1" w:color="5B2D8E"/>
        </w:pBdr>
        <w:spacing w:before="280" w:after="160"/>
      </w:pPr>
      <w:r>
        <w:rPr>
          <w:rFonts w:eastAsia="Arial" w:cs="Arial"/>
          <w:b/>
          <w:color w:val="5B2D8E"/>
          <w:sz w:val="24"/>
        </w:rPr>
        <w:t>SECTION 2 — HOW TO USE IT</w:t>
      </w:r>
    </w:p>
    <w:p w14:paraId="683EB8B5" w14:textId="6499F6FB" w:rsidR="006A72CD" w:rsidRDefault="00821F53">
      <w:r w:rsidRPr="00821F53">
        <w:rPr>
          <w:rFonts w:eastAsia="Arial" w:cs="Arial"/>
          <w:color w:val="1A1A1A"/>
        </w:rPr>
        <w:t>Work through the tool in five steps, across</w:t>
      </w:r>
      <w:r>
        <w:rPr>
          <w:rFonts w:eastAsia="Arial" w:cs="Arial"/>
          <w:color w:val="1A1A1A"/>
        </w:rPr>
        <w:t xml:space="preserve"> a two- to three-week window:</w:t>
      </w:r>
    </w:p>
    <w:p w14:paraId="4940E453" w14:textId="77777777" w:rsidR="006A72CD" w:rsidRDefault="00000000">
      <w:pPr>
        <w:spacing w:before="120" w:after="40"/>
      </w:pPr>
      <w:r>
        <w:rPr>
          <w:rFonts w:eastAsia="Arial" w:cs="Arial"/>
          <w:b/>
          <w:color w:val="7B52AE"/>
        </w:rPr>
        <w:t>Step 1 — Source candidate opportunities</w:t>
      </w:r>
    </w:p>
    <w:p w14:paraId="4F23A566" w14:textId="77777777" w:rsidR="00FC3791" w:rsidRDefault="00831077">
      <w:pPr>
        <w:rPr>
          <w:rFonts w:cs="Arial"/>
          <w:color w:val="1A1A1A"/>
        </w:rPr>
      </w:pPr>
      <w:r w:rsidRPr="00831077">
        <w:rPr>
          <w:rFonts w:cs="Arial"/>
          <w:color w:val="1A1A1A"/>
        </w:rPr>
        <w:t xml:space="preserve">Start with what you already know. If you've done Tool 1 (Shadow AI Audit), its MONITOR and FORMALISE rows are your first candidate pool — AI is already in use there, waiting to be made formal. </w:t>
      </w:r>
    </w:p>
    <w:p w14:paraId="3365E5A7" w14:textId="77777777" w:rsidR="00FC3791" w:rsidRDefault="00831077">
      <w:pPr>
        <w:rPr>
          <w:rFonts w:cs="Arial"/>
          <w:color w:val="1A1A1A"/>
        </w:rPr>
      </w:pPr>
      <w:r w:rsidRPr="00831077">
        <w:rPr>
          <w:rFonts w:cs="Arial"/>
          <w:color w:val="1A1A1A"/>
        </w:rPr>
        <w:t xml:space="preserve">If you've done Tool 3 (Capability &amp; Readiness Audit), look for capability strengths your team has but isn't yet using; each one is a candidate. </w:t>
      </w:r>
    </w:p>
    <w:p w14:paraId="5FC5D6D6" w14:textId="77777777" w:rsidR="00FC3791" w:rsidRDefault="00831077">
      <w:pPr>
        <w:rPr>
          <w:rFonts w:cs="Arial"/>
          <w:color w:val="1A1A1A"/>
        </w:rPr>
      </w:pPr>
      <w:r w:rsidRPr="00831077">
        <w:rPr>
          <w:rFonts w:cs="Arial"/>
          <w:color w:val="1A1A1A"/>
        </w:rPr>
        <w:t xml:space="preserve">If neither tool is done, source from front-line teams (who's already pasting into ChatGPT?), back-office processes (repetitive copy-paste), board-pack production (manual collation) and recent vendor demos. </w:t>
      </w:r>
    </w:p>
    <w:p w14:paraId="5984258F" w14:textId="304B9CA9" w:rsidR="006A72CD" w:rsidRPr="00FC3791" w:rsidRDefault="00831077">
      <w:pPr>
        <w:rPr>
          <w:rFonts w:cs="Arial"/>
          <w:color w:val="1A1A1A"/>
        </w:rPr>
      </w:pPr>
      <w:r w:rsidRPr="00831077">
        <w:rPr>
          <w:rFonts w:cs="Arial"/>
          <w:color w:val="1A1A1A"/>
        </w:rPr>
        <w:t>Aim for 15–25 candidates before you start filtering — the "From Prior Tools" sheet in the Excel workbook walks through this in detail.</w:t>
      </w:r>
    </w:p>
    <w:p w14:paraId="3DA1BDE2" w14:textId="77777777" w:rsidR="006A72CD" w:rsidRDefault="00000000">
      <w:pPr>
        <w:spacing w:before="120" w:after="40"/>
      </w:pPr>
      <w:r>
        <w:rPr>
          <w:rFonts w:eastAsia="Arial" w:cs="Arial"/>
          <w:b/>
          <w:color w:val="7B52AE"/>
        </w:rPr>
        <w:t>Step 2 — Screen for governance fit</w:t>
      </w:r>
    </w:p>
    <w:p w14:paraId="10842C7C" w14:textId="77777777" w:rsidR="00FC3791" w:rsidRDefault="00000000">
      <w:pPr>
        <w:rPr>
          <w:rFonts w:eastAsia="Arial" w:cs="Arial"/>
          <w:color w:val="1A1A1A"/>
        </w:rPr>
      </w:pPr>
      <w:r>
        <w:rPr>
          <w:rFonts w:eastAsia="Arial" w:cs="Arial"/>
          <w:color w:val="1A1A1A"/>
        </w:rPr>
        <w:t xml:space="preserve">Run each candidate through the six-point screen: personal data, special-category or high-sensitivity data, EU AI Act classification, AI Use Policy fit, vendor due diligence, reversibility. </w:t>
      </w:r>
    </w:p>
    <w:p w14:paraId="00FE6644" w14:textId="43CFA89B" w:rsidR="006A72CD" w:rsidRDefault="00000000">
      <w:pPr>
        <w:rPr>
          <w:rFonts w:eastAsia="Arial" w:cs="Arial"/>
          <w:color w:val="1A1A1A"/>
        </w:rPr>
      </w:pPr>
      <w:r>
        <w:rPr>
          <w:rFonts w:eastAsia="Arial" w:cs="Arial"/>
          <w:color w:val="1A1A1A"/>
        </w:rPr>
        <w:t>Anything marked Refer moves out of the quick-win pool.</w:t>
      </w:r>
    </w:p>
    <w:p w14:paraId="7CA6E0DF" w14:textId="77777777" w:rsidR="00FC3791" w:rsidRDefault="00FC3791">
      <w:pPr>
        <w:rPr>
          <w:rFonts w:eastAsia="Arial" w:cs="Arial"/>
          <w:color w:val="1A1A1A"/>
        </w:rPr>
      </w:pPr>
    </w:p>
    <w:p w14:paraId="1039FA51" w14:textId="77777777" w:rsidR="00FC3791" w:rsidRDefault="00FC3791"/>
    <w:p w14:paraId="3AA5E60B" w14:textId="77777777" w:rsidR="006A72CD" w:rsidRDefault="00000000">
      <w:pPr>
        <w:spacing w:before="120" w:after="40"/>
      </w:pPr>
      <w:r>
        <w:rPr>
          <w:b/>
          <w:color w:val="5B2D8E"/>
          <w:sz w:val="22"/>
        </w:rPr>
        <w:lastRenderedPageBreak/>
        <w:t>Step 3 — Score with two plain-English questions</w:t>
      </w:r>
    </w:p>
    <w:p w14:paraId="338F1D69" w14:textId="77777777" w:rsidR="00FC3791" w:rsidRDefault="00831077">
      <w:pPr>
        <w:rPr>
          <w:rFonts w:cs="Arial"/>
          <w:color w:val="1A1A1A"/>
        </w:rPr>
      </w:pPr>
      <w:r w:rsidRPr="00831077">
        <w:rPr>
          <w:rFonts w:cs="Arial"/>
          <w:color w:val="1A1A1A"/>
        </w:rPr>
        <w:t xml:space="preserve">Two questions per candidate. </w:t>
      </w:r>
    </w:p>
    <w:p w14:paraId="7873E6FC" w14:textId="77777777" w:rsidR="00FC3791" w:rsidRDefault="00831077">
      <w:pPr>
        <w:rPr>
          <w:rFonts w:cs="Arial"/>
          <w:color w:val="1A1A1A"/>
        </w:rPr>
      </w:pPr>
      <w:r w:rsidRPr="00831077">
        <w:rPr>
          <w:rFonts w:cs="Arial"/>
          <w:color w:val="1A1A1A"/>
        </w:rPr>
        <w:t xml:space="preserve">First: "Will this move a number the leadership team watches?" — Yes, Partly or No. </w:t>
      </w:r>
    </w:p>
    <w:p w14:paraId="41FE3438" w14:textId="77777777" w:rsidR="00FC3791" w:rsidRDefault="00831077">
      <w:pPr>
        <w:rPr>
          <w:rFonts w:cs="Arial"/>
          <w:color w:val="1A1A1A"/>
        </w:rPr>
      </w:pPr>
      <w:r w:rsidRPr="00831077">
        <w:rPr>
          <w:rFonts w:cs="Arial"/>
          <w:color w:val="1A1A1A"/>
        </w:rPr>
        <w:t xml:space="preserve">Second: "Can we deliver this with the people, tools and data we already have?" — Yes, Mostly or No. </w:t>
      </w:r>
    </w:p>
    <w:p w14:paraId="63FCBF98" w14:textId="77777777" w:rsidR="00FC3791" w:rsidRDefault="00831077">
      <w:pPr>
        <w:rPr>
          <w:rFonts w:cs="Arial"/>
          <w:color w:val="1A1A1A"/>
        </w:rPr>
      </w:pPr>
      <w:r w:rsidRPr="00831077">
        <w:rPr>
          <w:rFonts w:cs="Arial"/>
          <w:color w:val="1A1A1A"/>
        </w:rPr>
        <w:t xml:space="preserve">The Excel turns those answers into a priority score automatically: Yes = 5, Partly/Mostly = 3, No = 1, and Priority Score = Value × Feasibility (max 25). </w:t>
      </w:r>
    </w:p>
    <w:p w14:paraId="0976F557" w14:textId="50262F98" w:rsidR="006A72CD" w:rsidRDefault="00831077">
      <w:r w:rsidRPr="00831077">
        <w:rPr>
          <w:rFonts w:cs="Arial"/>
          <w:color w:val="1A1A1A"/>
        </w:rPr>
        <w:t xml:space="preserve">The "Value Scale Guide" sheet anchors each answer in plain English, so there's no 1–5 spreadsheet </w:t>
      </w:r>
      <w:proofErr w:type="spellStart"/>
      <w:r w:rsidRPr="00831077">
        <w:rPr>
          <w:rFonts w:cs="Arial"/>
          <w:color w:val="1A1A1A"/>
        </w:rPr>
        <w:t>maths</w:t>
      </w:r>
      <w:proofErr w:type="spellEnd"/>
      <w:r w:rsidRPr="00831077">
        <w:rPr>
          <w:rFonts w:cs="Arial"/>
          <w:color w:val="1A1A1A"/>
        </w:rPr>
        <w:t xml:space="preserve"> to do yourself.</w:t>
      </w:r>
    </w:p>
    <w:p w14:paraId="33AEB22B" w14:textId="77777777" w:rsidR="006A72CD" w:rsidRDefault="00000000">
      <w:pPr>
        <w:spacing w:before="120" w:after="40"/>
      </w:pPr>
      <w:r>
        <w:rPr>
          <w:rFonts w:eastAsia="Arial" w:cs="Arial"/>
          <w:b/>
          <w:color w:val="7B52AE"/>
        </w:rPr>
        <w:t>Step 4 — Sponsor your top three</w:t>
      </w:r>
    </w:p>
    <w:p w14:paraId="74CE4F1E" w14:textId="77777777" w:rsidR="00422E92" w:rsidRDefault="00000000">
      <w:pPr>
        <w:rPr>
          <w:rFonts w:eastAsia="Arial" w:cs="Arial"/>
          <w:color w:val="1A1A1A"/>
        </w:rPr>
      </w:pPr>
      <w:r>
        <w:rPr>
          <w:rFonts w:eastAsia="Arial" w:cs="Arial"/>
          <w:color w:val="1A1A1A"/>
        </w:rPr>
        <w:t xml:space="preserve">Complete a one-page sponsor brief for each of the top three. </w:t>
      </w:r>
    </w:p>
    <w:p w14:paraId="4FF5F1DD" w14:textId="616B84B0" w:rsidR="006A72CD" w:rsidRDefault="00000000">
      <w:r>
        <w:rPr>
          <w:rFonts w:eastAsia="Arial" w:cs="Arial"/>
          <w:color w:val="1A1A1A"/>
        </w:rPr>
        <w:t>Each needs a named business owner, an executive sponsor, an estimated annual value, a single KPI, and a go-live date inside 90 days.</w:t>
      </w:r>
    </w:p>
    <w:p w14:paraId="294C87C0" w14:textId="77777777" w:rsidR="006A72CD" w:rsidRDefault="00000000">
      <w:pPr>
        <w:spacing w:before="120" w:after="40"/>
      </w:pPr>
      <w:r>
        <w:rPr>
          <w:rFonts w:eastAsia="Arial" w:cs="Arial"/>
          <w:b/>
          <w:color w:val="7B52AE"/>
        </w:rPr>
        <w:t>Step 5 — Lock measurement before launch</w:t>
      </w:r>
    </w:p>
    <w:p w14:paraId="780089C4" w14:textId="000874DD" w:rsidR="006A72CD" w:rsidRDefault="00000000">
      <w:r>
        <w:rPr>
          <w:rFonts w:eastAsia="Arial" w:cs="Arial"/>
          <w:color w:val="1A1A1A"/>
        </w:rPr>
        <w:t xml:space="preserve">Capture a </w:t>
      </w:r>
      <w:r w:rsidR="00831077" w:rsidRPr="00831077">
        <w:rPr>
          <w:rFonts w:eastAsia="Arial" w:cs="Arial"/>
          <w:color w:val="1A1A1A"/>
        </w:rPr>
        <w:t>four-week baseline, name a measurement owner, schedule the day 30, 60 and 90 reviews, and write down the roll-back plan. Skip this and</w:t>
      </w:r>
      <w:r>
        <w:rPr>
          <w:rFonts w:eastAsia="Arial" w:cs="Arial"/>
          <w:color w:val="1A1A1A"/>
        </w:rPr>
        <w:t xml:space="preserve"> the quick win is anecdote, not evidence.</w:t>
      </w:r>
    </w:p>
    <w:p w14:paraId="294F8868" w14:textId="77777777" w:rsidR="00422E92" w:rsidRDefault="00422E92">
      <w:pPr>
        <w:pBdr>
          <w:bottom w:val="single" w:sz="12" w:space="1" w:color="5B2D8E"/>
        </w:pBdr>
        <w:spacing w:before="280" w:after="160"/>
        <w:rPr>
          <w:rFonts w:eastAsia="Arial" w:cs="Arial"/>
          <w:b/>
          <w:color w:val="5B2D8E"/>
          <w:sz w:val="24"/>
        </w:rPr>
      </w:pPr>
    </w:p>
    <w:p w14:paraId="47B22D2C" w14:textId="7CA6E296" w:rsidR="006A72CD" w:rsidRDefault="00000000">
      <w:pPr>
        <w:pBdr>
          <w:bottom w:val="single" w:sz="12" w:space="1" w:color="5B2D8E"/>
        </w:pBdr>
        <w:spacing w:before="280" w:after="160"/>
      </w:pPr>
      <w:r>
        <w:rPr>
          <w:rFonts w:eastAsia="Arial" w:cs="Arial"/>
          <w:b/>
          <w:color w:val="5B2D8E"/>
          <w:sz w:val="24"/>
        </w:rPr>
        <w:t>SECTION 3 — OUTPUT</w:t>
      </w:r>
    </w:p>
    <w:p w14:paraId="197BCC53" w14:textId="77618B55" w:rsidR="006A72CD" w:rsidRDefault="00831077">
      <w:r w:rsidRPr="00831077">
        <w:rPr>
          <w:rFonts w:eastAsia="Arial" w:cs="Arial"/>
          <w:color w:val="1A1A1A"/>
        </w:rPr>
        <w:t>By the time you finish, you'</w:t>
      </w:r>
      <w:r>
        <w:rPr>
          <w:rFonts w:eastAsia="Arial" w:cs="Arial"/>
          <w:color w:val="1A1A1A"/>
        </w:rPr>
        <w:t>ll have:</w:t>
      </w:r>
    </w:p>
    <w:p w14:paraId="3D5A4FBD" w14:textId="77777777" w:rsidR="006A72CD" w:rsidRDefault="00000000">
      <w:pPr>
        <w:pStyle w:val="ListBullet"/>
        <w:spacing w:after="40"/>
      </w:pPr>
      <w:r>
        <w:rPr>
          <w:rFonts w:eastAsia="Arial" w:cs="Arial"/>
          <w:color w:val="1A1A1A"/>
        </w:rPr>
        <w:t>A long-list –25 candidate AI opportunities, scored objectively.</w:t>
      </w:r>
    </w:p>
    <w:p w14:paraId="4CB1D95B" w14:textId="77777777" w:rsidR="006A72CD" w:rsidRDefault="00000000">
      <w:pPr>
        <w:pStyle w:val="ListBullet"/>
        <w:spacing w:after="40"/>
      </w:pPr>
      <w:r>
        <w:rPr>
          <w:rFonts w:eastAsia="Arial" w:cs="Arial"/>
          <w:color w:val="1A1A1A"/>
        </w:rPr>
        <w:t>A shortlist of 3 sponsored quick wins, each with a named owner, sponsor, KPI and go-live date.</w:t>
      </w:r>
    </w:p>
    <w:p w14:paraId="5DEC4DC6" w14:textId="77777777" w:rsidR="006A72CD" w:rsidRDefault="00000000">
      <w:pPr>
        <w:pStyle w:val="ListBullet"/>
        <w:spacing w:after="40"/>
      </w:pPr>
      <w:r>
        <w:rPr>
          <w:rFonts w:eastAsia="Arial" w:cs="Arial"/>
          <w:color w:val="1A1A1A"/>
        </w:rPr>
        <w:t>A governance audit trail showing each candidate has been screened against your AI Use Policy.</w:t>
      </w:r>
    </w:p>
    <w:p w14:paraId="4D709D57" w14:textId="77777777" w:rsidR="006A72CD" w:rsidRDefault="00000000">
      <w:pPr>
        <w:pStyle w:val="ListBullet"/>
        <w:spacing w:after="40"/>
      </w:pPr>
      <w:r>
        <w:rPr>
          <w:rFonts w:eastAsia="Arial" w:cs="Arial"/>
          <w:color w:val="1A1A1A"/>
        </w:rPr>
        <w:t xml:space="preserve">A measurement plan </w:t>
      </w:r>
      <w:proofErr w:type="gramStart"/>
      <w:r>
        <w:rPr>
          <w:rFonts w:eastAsia="Arial" w:cs="Arial"/>
          <w:color w:val="1A1A1A"/>
        </w:rPr>
        <w:t>ready</w:t>
      </w:r>
      <w:proofErr w:type="gramEnd"/>
      <w:r>
        <w:rPr>
          <w:rFonts w:eastAsia="Arial" w:cs="Arial"/>
          <w:color w:val="1A1A1A"/>
        </w:rPr>
        <w:t xml:space="preserve"> to run from day one.</w:t>
      </w:r>
    </w:p>
    <w:p w14:paraId="7450E878" w14:textId="4BCCC06F" w:rsidR="006A72CD" w:rsidRPr="00422E92" w:rsidRDefault="00000000">
      <w:pPr>
        <w:pStyle w:val="ListBullet"/>
        <w:spacing w:after="40"/>
      </w:pPr>
      <w:r>
        <w:rPr>
          <w:rFonts w:eastAsia="Arial" w:cs="Arial"/>
          <w:color w:val="1A1A1A"/>
        </w:rPr>
        <w:t xml:space="preserve">A </w:t>
      </w:r>
      <w:r w:rsidR="00422E92">
        <w:rPr>
          <w:rFonts w:eastAsia="Arial" w:cs="Arial"/>
          <w:color w:val="1A1A1A"/>
        </w:rPr>
        <w:t>leadership team</w:t>
      </w:r>
      <w:r>
        <w:rPr>
          <w:rFonts w:eastAsia="Arial" w:cs="Arial"/>
          <w:color w:val="1A1A1A"/>
        </w:rPr>
        <w:t xml:space="preserve"> artefact you can put in front of the governing body for sign-off.</w:t>
      </w:r>
    </w:p>
    <w:p w14:paraId="42A86972" w14:textId="77777777" w:rsidR="00422E92" w:rsidRDefault="00422E92" w:rsidP="00422E92">
      <w:pPr>
        <w:pStyle w:val="ListBullet"/>
        <w:numPr>
          <w:ilvl w:val="0"/>
          <w:numId w:val="0"/>
        </w:numPr>
        <w:spacing w:after="40"/>
        <w:ind w:left="360"/>
      </w:pPr>
    </w:p>
    <w:tbl>
      <w:tblPr>
        <w:tblW w:w="0" w:type="auto"/>
        <w:tblLayout w:type="fixed"/>
        <w:tblLook w:val="04A0" w:firstRow="1" w:lastRow="0" w:firstColumn="1" w:lastColumn="0" w:noHBand="0" w:noVBand="1"/>
      </w:tblPr>
      <w:tblGrid>
        <w:gridCol w:w="9071"/>
      </w:tblGrid>
      <w:tr w:rsidR="006A72CD" w14:paraId="5FA72EF3" w14:textId="77777777" w:rsidTr="00422E92">
        <w:trPr>
          <w:tblHeader/>
        </w:trPr>
        <w:tc>
          <w:tcPr>
            <w:tcW w:w="9071" w:type="dxa"/>
            <w:shd w:val="clear" w:color="auto" w:fill="CDC1F1"/>
          </w:tcPr>
          <w:p w14:paraId="7E817767" w14:textId="77777777" w:rsidR="00422E92" w:rsidRDefault="00422E92">
            <w:pPr>
              <w:spacing w:after="40"/>
              <w:rPr>
                <w:rFonts w:eastAsia="Arial" w:cs="Arial"/>
                <w:b/>
                <w:color w:val="7B52AE"/>
                <w:sz w:val="18"/>
              </w:rPr>
            </w:pPr>
          </w:p>
          <w:p w14:paraId="5EF349F0" w14:textId="78FC34C6" w:rsidR="006A72CD" w:rsidRDefault="00000000">
            <w:pPr>
              <w:spacing w:after="40"/>
            </w:pPr>
            <w:r>
              <w:rPr>
                <w:rFonts w:eastAsia="Arial" w:cs="Arial"/>
                <w:b/>
                <w:color w:val="7B52AE"/>
                <w:sz w:val="18"/>
              </w:rPr>
              <w:t>WHAT THIS IS NOT</w:t>
            </w:r>
          </w:p>
          <w:p w14:paraId="36687041" w14:textId="77777777" w:rsidR="006A72CD" w:rsidRDefault="00000000">
            <w:r>
              <w:rPr>
                <w:rFonts w:eastAsia="Arial" w:cs="Arial"/>
                <w:color w:val="1A1A1A"/>
              </w:rPr>
              <w:t>This is not your full AI strategy. Quick wins are the operating-model proof point — evidence that you can move from idea to value safely with governance intact. Longer-cycle initiatives belong in your broader AI roadmap, alongside the Capability &amp; Readiness Audit (Tool 3).</w:t>
            </w:r>
          </w:p>
        </w:tc>
      </w:tr>
    </w:tbl>
    <w:p w14:paraId="2BC1091B" w14:textId="77777777" w:rsidR="006A72CD" w:rsidRDefault="006A72CD"/>
    <w:p w14:paraId="5D943198" w14:textId="77777777" w:rsidR="00422E92" w:rsidRDefault="00422E92"/>
    <w:p w14:paraId="3495C2C8" w14:textId="77777777" w:rsidR="00422E92" w:rsidRDefault="00422E92"/>
    <w:p w14:paraId="6B8722DE" w14:textId="77777777" w:rsidR="00422E92" w:rsidRDefault="00422E92"/>
    <w:p w14:paraId="278708B5" w14:textId="77777777" w:rsidR="006A72CD" w:rsidRDefault="00000000">
      <w:pPr>
        <w:pBdr>
          <w:bottom w:val="single" w:sz="12" w:space="1" w:color="5B2D8E"/>
        </w:pBdr>
        <w:spacing w:before="280" w:after="160"/>
      </w:pPr>
      <w:r>
        <w:rPr>
          <w:rFonts w:eastAsia="Arial" w:cs="Arial"/>
          <w:b/>
          <w:color w:val="5B2D8E"/>
          <w:sz w:val="24"/>
        </w:rPr>
        <w:lastRenderedPageBreak/>
        <w:t>SECTION 4 — REGULATORY CONTEXT (IRELAND &amp; EU)</w:t>
      </w:r>
    </w:p>
    <w:p w14:paraId="0265CE91" w14:textId="77777777" w:rsidR="006A72CD" w:rsidRDefault="00000000">
      <w:pPr>
        <w:spacing w:before="120" w:after="40"/>
      </w:pPr>
      <w:r>
        <w:rPr>
          <w:rFonts w:eastAsia="Arial" w:cs="Arial"/>
          <w:b/>
          <w:color w:val="7B52AE"/>
        </w:rPr>
        <w:t>GDPR</w:t>
      </w:r>
    </w:p>
    <w:p w14:paraId="675C2D8B" w14:textId="77777777" w:rsidR="00422E92" w:rsidRDefault="00831077">
      <w:pPr>
        <w:rPr>
          <w:rFonts w:eastAsia="Arial" w:cs="Arial"/>
          <w:color w:val="1A1A1A"/>
        </w:rPr>
      </w:pPr>
      <w:r w:rsidRPr="00831077">
        <w:rPr>
          <w:rFonts w:eastAsia="Arial" w:cs="Arial"/>
          <w:color w:val="1A1A1A"/>
        </w:rPr>
        <w:t xml:space="preserve">Most quick wins touch some personal data — even if it's only staff names and email addresses. </w:t>
      </w:r>
    </w:p>
    <w:p w14:paraId="43625F1F" w14:textId="77777777" w:rsidR="00422E92" w:rsidRDefault="00831077">
      <w:pPr>
        <w:rPr>
          <w:rFonts w:eastAsia="Arial" w:cs="Arial"/>
          <w:color w:val="1A1A1A"/>
        </w:rPr>
      </w:pPr>
      <w:r w:rsidRPr="00831077">
        <w:rPr>
          <w:rFonts w:eastAsia="Arial" w:cs="Arial"/>
          <w:color w:val="1A1A1A"/>
        </w:rPr>
        <w:t xml:space="preserve">The screen checks whether the use case is already covered by an Article 30 record and a lawful basis. </w:t>
      </w:r>
    </w:p>
    <w:p w14:paraId="16B236BE" w14:textId="564C2CE0" w:rsidR="006A72CD" w:rsidRDefault="00831077">
      <w:r w:rsidRPr="00831077">
        <w:rPr>
          <w:rFonts w:eastAsia="Arial" w:cs="Arial"/>
          <w:color w:val="1A1A1A"/>
        </w:rPr>
        <w:t>Special-category or high-sensitivity data (health, ethnicity, biometrics, financial hardship or vulnerable-customer indicators) rarely fits a quick-win timeline; those use cases belong in the broader AI roadmap, with a full DPIA.</w:t>
      </w:r>
    </w:p>
    <w:p w14:paraId="4DEAD4FE" w14:textId="77777777" w:rsidR="006A72CD" w:rsidRDefault="00000000">
      <w:pPr>
        <w:spacing w:before="120" w:after="40"/>
      </w:pPr>
      <w:r>
        <w:rPr>
          <w:rFonts w:eastAsia="Arial" w:cs="Arial"/>
          <w:b/>
          <w:color w:val="7B52AE"/>
        </w:rPr>
        <w:t>EU AI Act</w:t>
      </w:r>
    </w:p>
    <w:p w14:paraId="44F9E712" w14:textId="77777777" w:rsidR="006A72CD" w:rsidRDefault="00000000">
      <w:r>
        <w:rPr>
          <w:rFonts w:eastAsia="Arial" w:cs="Arial"/>
          <w:color w:val="1A1A1A"/>
        </w:rPr>
        <w:t xml:space="preserve">Quick wins are almost always </w:t>
      </w:r>
      <w:proofErr w:type="gramStart"/>
      <w:r>
        <w:rPr>
          <w:rFonts w:eastAsia="Arial" w:cs="Arial"/>
          <w:color w:val="1A1A1A"/>
        </w:rPr>
        <w:t>minimal-risk</w:t>
      </w:r>
      <w:proofErr w:type="gramEnd"/>
      <w:r>
        <w:rPr>
          <w:rFonts w:eastAsia="Arial" w:cs="Arial"/>
          <w:color w:val="1A1A1A"/>
        </w:rPr>
        <w:t xml:space="preserve"> under the EU AI Act. The screen makes you confirm this explicitly. If a candidate is high-risk (e.g. recruitment screening, credit scoring, biometric </w:t>
      </w:r>
      <w:proofErr w:type="spellStart"/>
      <w:r>
        <w:rPr>
          <w:rFonts w:eastAsia="Arial" w:cs="Arial"/>
          <w:color w:val="1A1A1A"/>
        </w:rPr>
        <w:t>categorisation</w:t>
      </w:r>
      <w:proofErr w:type="spellEnd"/>
      <w:r>
        <w:rPr>
          <w:rFonts w:eastAsia="Arial" w:cs="Arial"/>
          <w:color w:val="1A1A1A"/>
        </w:rPr>
        <w:t>), it is out of scope here — handle it through your EU AI Act readiness assessment.</w:t>
      </w:r>
    </w:p>
    <w:p w14:paraId="42226C5D" w14:textId="77777777" w:rsidR="006A72CD" w:rsidRDefault="00000000">
      <w:pPr>
        <w:spacing w:before="120" w:after="40"/>
      </w:pPr>
      <w:r>
        <w:rPr>
          <w:rFonts w:eastAsia="Arial" w:cs="Arial"/>
          <w:b/>
          <w:color w:val="7B52AE"/>
        </w:rPr>
        <w:t>Director duties — Companies Act 2014</w:t>
      </w:r>
    </w:p>
    <w:p w14:paraId="3DA408EC" w14:textId="43650C73" w:rsidR="006A72CD" w:rsidRDefault="00831077">
      <w:r w:rsidRPr="00831077">
        <w:rPr>
          <w:rFonts w:eastAsia="Arial" w:cs="Arial"/>
          <w:color w:val="1A1A1A"/>
        </w:rPr>
        <w:t>Section 228(1)(g) of the Companies Act 2014 requires a director to exercise the care, skill and diligence that a reasonable person would exercise in the same circumstances. Quick wins meet that test when they are reversible, observable and covered by policy. What discharges the governance obligation is sponsorship at director level — not simply budget approval.</w:t>
      </w:r>
    </w:p>
    <w:p w14:paraId="58F7171B" w14:textId="77777777" w:rsidR="006A72CD" w:rsidRDefault="00000000">
      <w:pPr>
        <w:pBdr>
          <w:bottom w:val="single" w:sz="12" w:space="1" w:color="5B2D8E"/>
        </w:pBdr>
        <w:spacing w:before="280" w:after="160"/>
      </w:pPr>
      <w:r>
        <w:rPr>
          <w:rFonts w:eastAsia="Arial" w:cs="Arial"/>
          <w:b/>
          <w:color w:val="5B2D8E"/>
          <w:sz w:val="24"/>
        </w:rPr>
        <w:t>SECTION 5 — HOW TO MEASURE SUCCESS</w:t>
      </w:r>
    </w:p>
    <w:p w14:paraId="1A3E4AB1" w14:textId="2EFE81C3" w:rsidR="006A72CD" w:rsidRDefault="00831077">
      <w:r w:rsidRPr="00831077">
        <w:rPr>
          <w:rFonts w:eastAsia="Arial" w:cs="Arial"/>
          <w:color w:val="1A1A1A"/>
        </w:rPr>
        <w:t xml:space="preserve">Report </w:t>
      </w:r>
      <w:proofErr w:type="gramStart"/>
      <w:r w:rsidRPr="00831077">
        <w:rPr>
          <w:rFonts w:eastAsia="Arial" w:cs="Arial"/>
          <w:color w:val="1A1A1A"/>
        </w:rPr>
        <w:t>against</w:t>
      </w:r>
      <w:proofErr w:type="gramEnd"/>
      <w:r>
        <w:rPr>
          <w:rFonts w:eastAsia="Arial" w:cs="Arial"/>
          <w:color w:val="1A1A1A"/>
        </w:rPr>
        <w:t xml:space="preserve"> these </w:t>
      </w:r>
      <w:proofErr w:type="gramStart"/>
      <w:r>
        <w:rPr>
          <w:rFonts w:eastAsia="Arial" w:cs="Arial"/>
          <w:color w:val="1A1A1A"/>
        </w:rPr>
        <w:t>metrics</w:t>
      </w:r>
      <w:proofErr w:type="gramEnd"/>
      <w:r>
        <w:rPr>
          <w:rFonts w:eastAsia="Arial" w:cs="Arial"/>
          <w:color w:val="1A1A1A"/>
        </w:rPr>
        <w:t xml:space="preserve"> </w:t>
      </w:r>
      <w:r w:rsidRPr="00831077">
        <w:rPr>
          <w:rFonts w:eastAsia="Arial" w:cs="Arial"/>
          <w:color w:val="1A1A1A"/>
        </w:rPr>
        <w:t>each quarter</w:t>
      </w:r>
      <w:r>
        <w:rPr>
          <w:rFonts w:eastAsia="Arial" w:cs="Arial"/>
          <w:color w:val="1A1A1A"/>
        </w:rPr>
        <w:t>:</w:t>
      </w:r>
    </w:p>
    <w:tbl>
      <w:tblPr>
        <w:tblW w:w="0" w:type="auto"/>
        <w:tblLayout w:type="fixed"/>
        <w:tblLook w:val="04A0" w:firstRow="1" w:lastRow="0" w:firstColumn="1" w:lastColumn="0" w:noHBand="0" w:noVBand="1"/>
      </w:tblPr>
      <w:tblGrid>
        <w:gridCol w:w="4536"/>
        <w:gridCol w:w="4536"/>
      </w:tblGrid>
      <w:tr w:rsidR="006A72CD" w14:paraId="46AA2A03" w14:textId="77777777">
        <w:trPr>
          <w:tblHeader/>
        </w:trPr>
        <w:tc>
          <w:tcPr>
            <w:tcW w:w="4536" w:type="dxa"/>
            <w:tcBorders>
              <w:top w:val="single" w:sz="4" w:space="0" w:color="CCCCCC"/>
              <w:left w:val="single" w:sz="4" w:space="0" w:color="CCCCCC"/>
              <w:bottom w:val="single" w:sz="4" w:space="0" w:color="CCCCCC"/>
              <w:right w:val="single" w:sz="4" w:space="0" w:color="CCCCCC"/>
            </w:tcBorders>
            <w:shd w:val="clear" w:color="auto" w:fill="5F2EDB"/>
          </w:tcPr>
          <w:p w14:paraId="62C420A5" w14:textId="77777777" w:rsidR="006A72CD" w:rsidRDefault="00000000">
            <w:r>
              <w:rPr>
                <w:rFonts w:eastAsia="Arial" w:cs="Arial"/>
                <w:b/>
                <w:color w:val="FFFFFF"/>
                <w:sz w:val="20"/>
              </w:rPr>
              <w:t>Metric</w:t>
            </w:r>
          </w:p>
        </w:tc>
        <w:tc>
          <w:tcPr>
            <w:tcW w:w="4536" w:type="dxa"/>
            <w:tcBorders>
              <w:top w:val="single" w:sz="4" w:space="0" w:color="CCCCCC"/>
              <w:left w:val="single" w:sz="4" w:space="0" w:color="CCCCCC"/>
              <w:bottom w:val="single" w:sz="4" w:space="0" w:color="CCCCCC"/>
              <w:right w:val="single" w:sz="4" w:space="0" w:color="CCCCCC"/>
            </w:tcBorders>
            <w:shd w:val="clear" w:color="auto" w:fill="5F2EDB"/>
          </w:tcPr>
          <w:p w14:paraId="19254A90" w14:textId="77777777" w:rsidR="006A72CD" w:rsidRDefault="00000000">
            <w:r>
              <w:rPr>
                <w:rFonts w:eastAsia="Arial" w:cs="Arial"/>
                <w:b/>
                <w:color w:val="FFFFFF"/>
                <w:sz w:val="20"/>
              </w:rPr>
              <w:t>How to read it</w:t>
            </w:r>
          </w:p>
        </w:tc>
      </w:tr>
      <w:tr w:rsidR="006A72CD" w14:paraId="1B88CD28" w14:textId="77777777">
        <w:tc>
          <w:tcPr>
            <w:tcW w:w="4536" w:type="dxa"/>
            <w:tcBorders>
              <w:top w:val="single" w:sz="4" w:space="0" w:color="CCCCCC"/>
              <w:left w:val="single" w:sz="4" w:space="0" w:color="CCCCCC"/>
              <w:bottom w:val="single" w:sz="4" w:space="0" w:color="CCCCCC"/>
              <w:right w:val="single" w:sz="4" w:space="0" w:color="CCCCCC"/>
            </w:tcBorders>
          </w:tcPr>
          <w:p w14:paraId="091A9BAC" w14:textId="77777777" w:rsidR="006A72CD" w:rsidRDefault="00000000">
            <w:r>
              <w:rPr>
                <w:rFonts w:eastAsia="Arial" w:cs="Arial"/>
                <w:b/>
                <w:color w:val="5B2D8E"/>
                <w:sz w:val="20"/>
              </w:rPr>
              <w:t>Long-list volume</w:t>
            </w:r>
          </w:p>
        </w:tc>
        <w:tc>
          <w:tcPr>
            <w:tcW w:w="4536" w:type="dxa"/>
            <w:tcBorders>
              <w:top w:val="single" w:sz="4" w:space="0" w:color="CCCCCC"/>
              <w:left w:val="single" w:sz="4" w:space="0" w:color="CCCCCC"/>
              <w:bottom w:val="single" w:sz="4" w:space="0" w:color="CCCCCC"/>
              <w:right w:val="single" w:sz="4" w:space="0" w:color="CCCCCC"/>
            </w:tcBorders>
          </w:tcPr>
          <w:p w14:paraId="5CD2BC25" w14:textId="77777777" w:rsidR="006A72CD" w:rsidRDefault="00000000">
            <w:r>
              <w:rPr>
                <w:rFonts w:eastAsia="Arial" w:cs="Arial"/>
                <w:color w:val="1A1A1A"/>
                <w:sz w:val="20"/>
              </w:rPr>
              <w:t>Number of candidate opportunities sourced per quarter — target 15–25.</w:t>
            </w:r>
          </w:p>
        </w:tc>
      </w:tr>
      <w:tr w:rsidR="006A72CD" w14:paraId="73957D6F" w14:textId="77777777">
        <w:tc>
          <w:tcPr>
            <w:tcW w:w="4536" w:type="dxa"/>
            <w:tcBorders>
              <w:top w:val="single" w:sz="4" w:space="0" w:color="CCCCCC"/>
              <w:left w:val="single" w:sz="4" w:space="0" w:color="CCCCCC"/>
              <w:bottom w:val="single" w:sz="4" w:space="0" w:color="CCCCCC"/>
              <w:right w:val="single" w:sz="4" w:space="0" w:color="CCCCCC"/>
            </w:tcBorders>
            <w:shd w:val="clear" w:color="auto" w:fill="F5F5F5"/>
          </w:tcPr>
          <w:p w14:paraId="6A3338B7" w14:textId="77777777" w:rsidR="006A72CD" w:rsidRDefault="00000000">
            <w:r>
              <w:rPr>
                <w:rFonts w:eastAsia="Arial" w:cs="Arial"/>
                <w:b/>
                <w:color w:val="5B2D8E"/>
                <w:sz w:val="20"/>
              </w:rPr>
              <w:t>Screen pass rate</w:t>
            </w:r>
          </w:p>
        </w:tc>
        <w:tc>
          <w:tcPr>
            <w:tcW w:w="4536" w:type="dxa"/>
            <w:tcBorders>
              <w:top w:val="single" w:sz="4" w:space="0" w:color="CCCCCC"/>
              <w:left w:val="single" w:sz="4" w:space="0" w:color="CCCCCC"/>
              <w:bottom w:val="single" w:sz="4" w:space="0" w:color="CCCCCC"/>
              <w:right w:val="single" w:sz="4" w:space="0" w:color="CCCCCC"/>
            </w:tcBorders>
            <w:shd w:val="clear" w:color="auto" w:fill="F5F5F5"/>
          </w:tcPr>
          <w:p w14:paraId="4A13C5BB" w14:textId="77777777" w:rsidR="006A72CD" w:rsidRDefault="00000000">
            <w:r>
              <w:rPr>
                <w:rFonts w:eastAsia="Arial" w:cs="Arial"/>
                <w:color w:val="1A1A1A"/>
                <w:sz w:val="20"/>
              </w:rPr>
              <w:t>% of long-list that passes the six-point governance screen — typical range 40–60%.</w:t>
            </w:r>
          </w:p>
        </w:tc>
      </w:tr>
      <w:tr w:rsidR="006A72CD" w14:paraId="40C8F19B" w14:textId="77777777">
        <w:tc>
          <w:tcPr>
            <w:tcW w:w="4536" w:type="dxa"/>
            <w:tcBorders>
              <w:top w:val="single" w:sz="4" w:space="0" w:color="CCCCCC"/>
              <w:left w:val="single" w:sz="4" w:space="0" w:color="CCCCCC"/>
              <w:bottom w:val="single" w:sz="4" w:space="0" w:color="CCCCCC"/>
              <w:right w:val="single" w:sz="4" w:space="0" w:color="CCCCCC"/>
            </w:tcBorders>
          </w:tcPr>
          <w:p w14:paraId="48F9F7BF" w14:textId="77777777" w:rsidR="006A72CD" w:rsidRDefault="00000000">
            <w:r>
              <w:rPr>
                <w:rFonts w:eastAsia="Arial" w:cs="Arial"/>
                <w:b/>
                <w:color w:val="5B2D8E"/>
                <w:sz w:val="20"/>
              </w:rPr>
              <w:t>Sponsorship throughput</w:t>
            </w:r>
          </w:p>
        </w:tc>
        <w:tc>
          <w:tcPr>
            <w:tcW w:w="4536" w:type="dxa"/>
            <w:tcBorders>
              <w:top w:val="single" w:sz="4" w:space="0" w:color="CCCCCC"/>
              <w:left w:val="single" w:sz="4" w:space="0" w:color="CCCCCC"/>
              <w:bottom w:val="single" w:sz="4" w:space="0" w:color="CCCCCC"/>
              <w:right w:val="single" w:sz="4" w:space="0" w:color="CCCCCC"/>
            </w:tcBorders>
          </w:tcPr>
          <w:p w14:paraId="38A22DEF" w14:textId="77777777" w:rsidR="006A72CD" w:rsidRDefault="00000000">
            <w:r>
              <w:rPr>
                <w:rFonts w:eastAsia="Arial" w:cs="Arial"/>
                <w:color w:val="1A1A1A"/>
                <w:sz w:val="20"/>
              </w:rPr>
              <w:t>Number of quick wins sponsored per quarter — target 3.</w:t>
            </w:r>
          </w:p>
        </w:tc>
      </w:tr>
      <w:tr w:rsidR="006A72CD" w14:paraId="073D9D0F" w14:textId="77777777">
        <w:tc>
          <w:tcPr>
            <w:tcW w:w="4536" w:type="dxa"/>
            <w:tcBorders>
              <w:top w:val="single" w:sz="4" w:space="0" w:color="CCCCCC"/>
              <w:left w:val="single" w:sz="4" w:space="0" w:color="CCCCCC"/>
              <w:bottom w:val="single" w:sz="4" w:space="0" w:color="CCCCCC"/>
              <w:right w:val="single" w:sz="4" w:space="0" w:color="CCCCCC"/>
            </w:tcBorders>
            <w:shd w:val="clear" w:color="auto" w:fill="F5F5F5"/>
          </w:tcPr>
          <w:p w14:paraId="77E9A198" w14:textId="77777777" w:rsidR="006A72CD" w:rsidRDefault="00000000">
            <w:r>
              <w:rPr>
                <w:rFonts w:eastAsia="Arial" w:cs="Arial"/>
                <w:b/>
                <w:color w:val="5B2D8E"/>
                <w:sz w:val="20"/>
              </w:rPr>
              <w:t>Time to first value</w:t>
            </w:r>
          </w:p>
        </w:tc>
        <w:tc>
          <w:tcPr>
            <w:tcW w:w="4536" w:type="dxa"/>
            <w:tcBorders>
              <w:top w:val="single" w:sz="4" w:space="0" w:color="CCCCCC"/>
              <w:left w:val="single" w:sz="4" w:space="0" w:color="CCCCCC"/>
              <w:bottom w:val="single" w:sz="4" w:space="0" w:color="CCCCCC"/>
              <w:right w:val="single" w:sz="4" w:space="0" w:color="CCCCCC"/>
            </w:tcBorders>
            <w:shd w:val="clear" w:color="auto" w:fill="F5F5F5"/>
          </w:tcPr>
          <w:p w14:paraId="58E93FB3" w14:textId="77777777" w:rsidR="006A72CD" w:rsidRDefault="00000000">
            <w:r>
              <w:rPr>
                <w:rFonts w:eastAsia="Arial" w:cs="Arial"/>
                <w:color w:val="1A1A1A"/>
                <w:sz w:val="20"/>
              </w:rPr>
              <w:t>Days from sponsorship to first measured KPI movement — target ≤ 60 days.</w:t>
            </w:r>
          </w:p>
        </w:tc>
      </w:tr>
      <w:tr w:rsidR="006A72CD" w14:paraId="53379E9F" w14:textId="77777777">
        <w:tc>
          <w:tcPr>
            <w:tcW w:w="4536" w:type="dxa"/>
            <w:tcBorders>
              <w:top w:val="single" w:sz="4" w:space="0" w:color="CCCCCC"/>
              <w:left w:val="single" w:sz="4" w:space="0" w:color="CCCCCC"/>
              <w:bottom w:val="single" w:sz="4" w:space="0" w:color="CCCCCC"/>
              <w:right w:val="single" w:sz="4" w:space="0" w:color="CCCCCC"/>
            </w:tcBorders>
          </w:tcPr>
          <w:p w14:paraId="61BEF28F" w14:textId="77777777" w:rsidR="006A72CD" w:rsidRDefault="00000000">
            <w:r>
              <w:rPr>
                <w:rFonts w:eastAsia="Arial" w:cs="Arial"/>
                <w:b/>
                <w:color w:val="5B2D8E"/>
                <w:sz w:val="20"/>
              </w:rPr>
              <w:t>Day-90 outcome split</w:t>
            </w:r>
          </w:p>
        </w:tc>
        <w:tc>
          <w:tcPr>
            <w:tcW w:w="4536" w:type="dxa"/>
            <w:tcBorders>
              <w:top w:val="single" w:sz="4" w:space="0" w:color="CCCCCC"/>
              <w:left w:val="single" w:sz="4" w:space="0" w:color="CCCCCC"/>
              <w:bottom w:val="single" w:sz="4" w:space="0" w:color="CCCCCC"/>
              <w:right w:val="single" w:sz="4" w:space="0" w:color="CCCCCC"/>
            </w:tcBorders>
          </w:tcPr>
          <w:p w14:paraId="756C34EF" w14:textId="77777777" w:rsidR="006A72CD" w:rsidRDefault="00000000">
            <w:r>
              <w:rPr>
                <w:rFonts w:eastAsia="Arial" w:cs="Arial"/>
                <w:color w:val="1A1A1A"/>
                <w:sz w:val="20"/>
              </w:rPr>
              <w:t>% of sponsored quick wins classified Scale / Sustain / Retire at day 90.</w:t>
            </w:r>
          </w:p>
        </w:tc>
      </w:tr>
      <w:tr w:rsidR="006A72CD" w14:paraId="2A54901D" w14:textId="77777777">
        <w:tc>
          <w:tcPr>
            <w:tcW w:w="4536" w:type="dxa"/>
            <w:tcBorders>
              <w:top w:val="single" w:sz="4" w:space="0" w:color="CCCCCC"/>
              <w:left w:val="single" w:sz="4" w:space="0" w:color="CCCCCC"/>
              <w:bottom w:val="single" w:sz="4" w:space="0" w:color="CCCCCC"/>
              <w:right w:val="single" w:sz="4" w:space="0" w:color="CCCCCC"/>
            </w:tcBorders>
            <w:shd w:val="clear" w:color="auto" w:fill="F5F5F5"/>
          </w:tcPr>
          <w:p w14:paraId="17CD25E3" w14:textId="77777777" w:rsidR="006A72CD" w:rsidRDefault="00000000">
            <w:proofErr w:type="spellStart"/>
            <w:r>
              <w:rPr>
                <w:rFonts w:eastAsia="Arial" w:cs="Arial"/>
                <w:b/>
                <w:color w:val="5B2D8E"/>
                <w:sz w:val="20"/>
              </w:rPr>
              <w:t>Annualised</w:t>
            </w:r>
            <w:proofErr w:type="spellEnd"/>
            <w:r>
              <w:rPr>
                <w:rFonts w:eastAsia="Arial" w:cs="Arial"/>
                <w:b/>
                <w:color w:val="5B2D8E"/>
                <w:sz w:val="20"/>
              </w:rPr>
              <w:t xml:space="preserve"> value </w:t>
            </w:r>
            <w:proofErr w:type="spellStart"/>
            <w:r>
              <w:rPr>
                <w:rFonts w:eastAsia="Arial" w:cs="Arial"/>
                <w:b/>
                <w:color w:val="5B2D8E"/>
                <w:sz w:val="20"/>
              </w:rPr>
              <w:t>realised</w:t>
            </w:r>
            <w:proofErr w:type="spellEnd"/>
          </w:p>
        </w:tc>
        <w:tc>
          <w:tcPr>
            <w:tcW w:w="4536" w:type="dxa"/>
            <w:tcBorders>
              <w:top w:val="single" w:sz="4" w:space="0" w:color="CCCCCC"/>
              <w:left w:val="single" w:sz="4" w:space="0" w:color="CCCCCC"/>
              <w:bottom w:val="single" w:sz="4" w:space="0" w:color="CCCCCC"/>
              <w:right w:val="single" w:sz="4" w:space="0" w:color="CCCCCC"/>
            </w:tcBorders>
            <w:shd w:val="clear" w:color="auto" w:fill="F5F5F5"/>
          </w:tcPr>
          <w:p w14:paraId="34332D10" w14:textId="77777777" w:rsidR="006A72CD" w:rsidRDefault="00000000">
            <w:r>
              <w:rPr>
                <w:rFonts w:eastAsia="Arial" w:cs="Arial"/>
                <w:color w:val="1A1A1A"/>
                <w:sz w:val="20"/>
              </w:rPr>
              <w:t>€ of measured value across live quick wins — net of build cost.</w:t>
            </w:r>
          </w:p>
        </w:tc>
      </w:tr>
    </w:tbl>
    <w:p w14:paraId="09295F16" w14:textId="77777777" w:rsidR="006A72CD" w:rsidRDefault="006A72CD"/>
    <w:p w14:paraId="739F85DD" w14:textId="77777777" w:rsidR="00422E92" w:rsidRDefault="00422E92"/>
    <w:p w14:paraId="19B6D7C0" w14:textId="77777777" w:rsidR="00422E92" w:rsidRDefault="00422E92"/>
    <w:p w14:paraId="3B1DBBF0" w14:textId="77777777" w:rsidR="00422E92" w:rsidRDefault="00422E92"/>
    <w:p w14:paraId="13318B76" w14:textId="77777777" w:rsidR="006A72CD" w:rsidRDefault="00000000">
      <w:pPr>
        <w:pBdr>
          <w:bottom w:val="single" w:sz="12" w:space="1" w:color="5B2D8E"/>
        </w:pBdr>
        <w:spacing w:before="280" w:after="160"/>
      </w:pPr>
      <w:r>
        <w:rPr>
          <w:rFonts w:eastAsia="Arial" w:cs="Arial"/>
          <w:b/>
          <w:color w:val="5B2D8E"/>
          <w:sz w:val="24"/>
        </w:rPr>
        <w:lastRenderedPageBreak/>
        <w:t>SECTION 6 — MAKING IT STICK</w:t>
      </w:r>
    </w:p>
    <w:p w14:paraId="6EBFF7BE" w14:textId="77777777" w:rsidR="006A72CD" w:rsidRDefault="00000000">
      <w:pPr>
        <w:spacing w:before="120" w:after="40"/>
      </w:pPr>
      <w:r>
        <w:rPr>
          <w:rFonts w:eastAsia="Arial" w:cs="Arial"/>
          <w:b/>
          <w:color w:val="7B52AE"/>
        </w:rPr>
        <w:t>Cadence</w:t>
      </w:r>
    </w:p>
    <w:p w14:paraId="559037F9" w14:textId="4E3A2CE3" w:rsidR="006A72CD" w:rsidRDefault="00000000">
      <w:r>
        <w:rPr>
          <w:rFonts w:eastAsia="Arial" w:cs="Arial"/>
          <w:color w:val="1A1A1A"/>
        </w:rPr>
        <w:t>Run the planner every quarter</w:t>
      </w:r>
      <w:r w:rsidR="00831077" w:rsidRPr="00831077">
        <w:rPr>
          <w:rFonts w:eastAsia="Arial" w:cs="Arial"/>
          <w:color w:val="1A1A1A"/>
        </w:rPr>
        <w:t xml:space="preserve">, and treat the long-list as a rolling backlog — anything </w:t>
      </w:r>
      <w:proofErr w:type="gramStart"/>
      <w:r w:rsidR="00831077" w:rsidRPr="00831077">
        <w:rPr>
          <w:rFonts w:eastAsia="Arial" w:cs="Arial"/>
          <w:color w:val="1A1A1A"/>
        </w:rPr>
        <w:t>not picked</w:t>
      </w:r>
      <w:proofErr w:type="gramEnd"/>
      <w:r w:rsidR="00831077" w:rsidRPr="00831077">
        <w:rPr>
          <w:rFonts w:eastAsia="Arial" w:cs="Arial"/>
          <w:color w:val="1A1A1A"/>
        </w:rPr>
        <w:t xml:space="preserve"> this quarter goes to the front of the queue next time</w:t>
      </w:r>
      <w:r>
        <w:rPr>
          <w:rFonts w:eastAsia="Arial" w:cs="Arial"/>
          <w:color w:val="1A1A1A"/>
        </w:rPr>
        <w:t>.</w:t>
      </w:r>
    </w:p>
    <w:p w14:paraId="18C0205A" w14:textId="77777777" w:rsidR="006A72CD" w:rsidRDefault="00000000">
      <w:pPr>
        <w:spacing w:before="120" w:after="40"/>
      </w:pPr>
      <w:r>
        <w:rPr>
          <w:rFonts w:eastAsia="Arial" w:cs="Arial"/>
          <w:b/>
          <w:color w:val="7B52AE"/>
        </w:rPr>
        <w:t>Sponsorship discipline</w:t>
      </w:r>
    </w:p>
    <w:p w14:paraId="1DA5EED2" w14:textId="77777777" w:rsidR="006A72CD" w:rsidRDefault="00000000">
      <w:r>
        <w:rPr>
          <w:rFonts w:eastAsia="Arial" w:cs="Arial"/>
          <w:color w:val="1A1A1A"/>
        </w:rPr>
        <w:t>Refuse to sponsor a quick win without a named business owner and a single measurable KPI. Committees do not own quick wins.</w:t>
      </w:r>
    </w:p>
    <w:p w14:paraId="01C7A4C4" w14:textId="77777777" w:rsidR="006A72CD" w:rsidRDefault="00000000">
      <w:pPr>
        <w:spacing w:before="120" w:after="40"/>
      </w:pPr>
      <w:r>
        <w:rPr>
          <w:rFonts w:eastAsia="Arial" w:cs="Arial"/>
          <w:b/>
          <w:color w:val="7B52AE"/>
        </w:rPr>
        <w:t>Stop criteria</w:t>
      </w:r>
    </w:p>
    <w:p w14:paraId="6308A8B3" w14:textId="62347642" w:rsidR="006A72CD" w:rsidRDefault="00000000">
      <w:r>
        <w:rPr>
          <w:rFonts w:eastAsia="Arial" w:cs="Arial"/>
          <w:color w:val="1A1A1A"/>
        </w:rPr>
        <w:t>Every sponsored quick win has a written stop threshold. If it isn't met by day 60, retire</w:t>
      </w:r>
      <w:r w:rsidR="00831077" w:rsidRPr="00831077">
        <w:rPr>
          <w:rFonts w:eastAsia="Arial" w:cs="Arial"/>
          <w:color w:val="1A1A1A"/>
        </w:rPr>
        <w:t xml:space="preserve"> it — don'</w:t>
      </w:r>
      <w:r>
        <w:rPr>
          <w:rFonts w:eastAsia="Arial" w:cs="Arial"/>
          <w:color w:val="1A1A1A"/>
        </w:rPr>
        <w:t>t extend.</w:t>
      </w:r>
    </w:p>
    <w:p w14:paraId="5E3CCF64" w14:textId="77777777" w:rsidR="006A72CD" w:rsidRDefault="00000000">
      <w:pPr>
        <w:spacing w:before="120" w:after="40"/>
      </w:pPr>
      <w:r>
        <w:rPr>
          <w:rFonts w:eastAsia="Arial" w:cs="Arial"/>
          <w:b/>
          <w:color w:val="7B52AE"/>
        </w:rPr>
        <w:t>Governance gate</w:t>
      </w:r>
    </w:p>
    <w:p w14:paraId="5DED238A" w14:textId="77777777" w:rsidR="006A72CD" w:rsidRDefault="00000000">
      <w:r>
        <w:rPr>
          <w:rFonts w:eastAsia="Arial" w:cs="Arial"/>
          <w:color w:val="1A1A1A"/>
        </w:rPr>
        <w:t>The AI Use Policy (Tool 2) is the gate. If a quick win needs a policy exception, it is no longer a quick win.</w:t>
      </w:r>
    </w:p>
    <w:p w14:paraId="6D795AC5" w14:textId="77777777" w:rsidR="006A72CD" w:rsidRDefault="00000000">
      <w:pPr>
        <w:spacing w:before="120" w:after="40"/>
      </w:pPr>
      <w:r>
        <w:rPr>
          <w:rFonts w:eastAsia="Arial" w:cs="Arial"/>
          <w:b/>
          <w:color w:val="7B52AE"/>
        </w:rPr>
        <w:t>Visible scoreboard</w:t>
      </w:r>
    </w:p>
    <w:p w14:paraId="639C1826" w14:textId="3F0CC9DD" w:rsidR="006A72CD" w:rsidRDefault="00000000">
      <w:r>
        <w:rPr>
          <w:rFonts w:eastAsia="Arial" w:cs="Arial"/>
          <w:color w:val="1A1A1A"/>
        </w:rPr>
        <w:t xml:space="preserve">Publish the live shortlist and outcomes to the leadership team </w:t>
      </w:r>
      <w:r w:rsidR="00831077" w:rsidRPr="00831077">
        <w:rPr>
          <w:rFonts w:eastAsia="Arial" w:cs="Arial"/>
          <w:color w:val="1A1A1A"/>
        </w:rPr>
        <w:t>every month</w:t>
      </w:r>
      <w:r>
        <w:rPr>
          <w:rFonts w:eastAsia="Arial" w:cs="Arial"/>
          <w:color w:val="1A1A1A"/>
        </w:rPr>
        <w:t>. Quick wins die in the dark.</w:t>
      </w:r>
    </w:p>
    <w:p w14:paraId="765748E3" w14:textId="77777777" w:rsidR="006A72CD" w:rsidRDefault="00000000">
      <w:pPr>
        <w:spacing w:before="120" w:after="40"/>
      </w:pPr>
      <w:r>
        <w:rPr>
          <w:rFonts w:eastAsia="Arial" w:cs="Arial"/>
          <w:b/>
          <w:color w:val="7B52AE"/>
        </w:rPr>
        <w:t>Hand-off to roadmap</w:t>
      </w:r>
    </w:p>
    <w:p w14:paraId="0D941990" w14:textId="7231BE8A" w:rsidR="006A72CD" w:rsidRDefault="00831077">
      <w:r w:rsidRPr="00831077">
        <w:rPr>
          <w:rFonts w:eastAsia="Arial" w:cs="Arial"/>
          <w:color w:val="1A1A1A"/>
        </w:rPr>
        <w:t xml:space="preserve">Scoring below 9: </w:t>
      </w:r>
      <w:proofErr w:type="spellStart"/>
      <w:r w:rsidRPr="00831077">
        <w:rPr>
          <w:rFonts w:eastAsia="Arial" w:cs="Arial"/>
          <w:color w:val="1A1A1A"/>
        </w:rPr>
        <w:t>deprioritise</w:t>
      </w:r>
      <w:proofErr w:type="spellEnd"/>
      <w:r w:rsidRPr="00831077">
        <w:rPr>
          <w:rFonts w:eastAsia="Arial" w:cs="Arial"/>
          <w:color w:val="1A1A1A"/>
        </w:rPr>
        <w:t xml:space="preserve"> or park. Scoring above 20 but not deliverable inside 90 days: move it to the AI roadmap, with the</w:t>
      </w:r>
      <w:r>
        <w:rPr>
          <w:rFonts w:eastAsia="Arial" w:cs="Arial"/>
          <w:color w:val="1A1A1A"/>
        </w:rPr>
        <w:t xml:space="preserve"> sponsor retained.</w:t>
      </w:r>
    </w:p>
    <w:sectPr w:rsidR="006A72CD" w:rsidSect="00034616">
      <w:headerReference w:type="default" r:id="rId9"/>
      <w:footerReference w:type="default" r:id="rId10"/>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872E0" w14:textId="77777777" w:rsidR="004A1323" w:rsidRDefault="004A1323">
      <w:pPr>
        <w:spacing w:after="0" w:line="240" w:lineRule="auto"/>
      </w:pPr>
      <w:r>
        <w:separator/>
      </w:r>
    </w:p>
  </w:endnote>
  <w:endnote w:type="continuationSeparator" w:id="0">
    <w:p w14:paraId="6AFE2D2D" w14:textId="77777777" w:rsidR="004A1323" w:rsidRDefault="004A1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D664" w14:textId="1D4A2C55" w:rsidR="006A72CD" w:rsidRDefault="00000000">
    <w:pPr>
      <w:pBdr>
        <w:top w:val="single" w:sz="4" w:space="1" w:color="CCCCCC"/>
      </w:pBdr>
    </w:pPr>
    <w:r>
      <w:rPr>
        <w:rFonts w:eastAsia="Arial" w:cs="Arial"/>
        <w:color w:val="555555"/>
        <w:sz w:val="16"/>
      </w:rPr>
      <w:t>IoD</w:t>
    </w:r>
    <w:r w:rsidR="00FC3791">
      <w:rPr>
        <w:rFonts w:eastAsia="Arial" w:cs="Arial"/>
        <w:color w:val="555555"/>
        <w:sz w:val="16"/>
      </w:rPr>
      <w:t xml:space="preserve"> Ireland</w:t>
    </w:r>
    <w:r>
      <w:rPr>
        <w:rFonts w:eastAsia="Arial" w:cs="Arial"/>
        <w:color w:val="555555"/>
        <w:sz w:val="16"/>
      </w:rPr>
      <w:t xml:space="preserve"> AI Governance </w:t>
    </w:r>
    <w:r w:rsidR="00FC3791">
      <w:rPr>
        <w:rFonts w:eastAsia="Arial" w:cs="Arial"/>
        <w:color w:val="555555"/>
        <w:sz w:val="16"/>
      </w:rPr>
      <w:t>Toolkit · Tool</w:t>
    </w:r>
    <w:r>
      <w:rPr>
        <w:rFonts w:eastAsia="Arial" w:cs="Arial"/>
        <w:color w:val="555555"/>
        <w:sz w:val="16"/>
      </w:rPr>
      <w:t xml:space="preserve"> 4.1 — AI Quick Wins </w:t>
    </w:r>
    <w:r w:rsidR="00FC3791">
      <w:rPr>
        <w:rFonts w:eastAsia="Arial" w:cs="Arial"/>
        <w:color w:val="555555"/>
        <w:sz w:val="16"/>
      </w:rPr>
      <w:t>Planner · Instruction</w:t>
    </w:r>
    <w:r>
      <w:rPr>
        <w:rFonts w:eastAsia="Arial" w:cs="Arial"/>
        <w:color w:val="555555"/>
        <w:sz w:val="16"/>
      </w:rPr>
      <w:t xml:space="preserve"> 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04374" w14:textId="77777777" w:rsidR="004A1323" w:rsidRDefault="004A1323">
      <w:pPr>
        <w:spacing w:after="0" w:line="240" w:lineRule="auto"/>
      </w:pPr>
      <w:r>
        <w:separator/>
      </w:r>
    </w:p>
  </w:footnote>
  <w:footnote w:type="continuationSeparator" w:id="0">
    <w:p w14:paraId="22B0A584" w14:textId="77777777" w:rsidR="004A1323" w:rsidRDefault="004A1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6236"/>
      <w:gridCol w:w="2835"/>
    </w:tblGrid>
    <w:tr w:rsidR="006A72CD" w14:paraId="5D8DF184" w14:textId="77777777">
      <w:tc>
        <w:tcPr>
          <w:tcW w:w="6236" w:type="dxa"/>
        </w:tcPr>
        <w:p w14:paraId="5764B27B" w14:textId="4088961D" w:rsidR="006A72CD" w:rsidRDefault="00000000">
          <w:pPr>
            <w:pBdr>
              <w:bottom w:val="single" w:sz="6" w:space="1" w:color="5B2D8E"/>
            </w:pBdr>
          </w:pPr>
          <w:r>
            <w:rPr>
              <w:rFonts w:eastAsia="Arial" w:cs="Arial"/>
              <w:b/>
              <w:color w:val="5B2D8E"/>
              <w:sz w:val="18"/>
            </w:rPr>
            <w:t xml:space="preserve">IoD </w:t>
          </w:r>
          <w:r w:rsidR="00FC3791">
            <w:rPr>
              <w:rFonts w:eastAsia="Arial" w:cs="Arial"/>
              <w:b/>
              <w:color w:val="5B2D8E"/>
              <w:sz w:val="18"/>
            </w:rPr>
            <w:t xml:space="preserve">Ireland </w:t>
          </w:r>
          <w:r>
            <w:rPr>
              <w:rFonts w:eastAsia="Arial" w:cs="Arial"/>
              <w:b/>
              <w:color w:val="5B2D8E"/>
              <w:sz w:val="18"/>
            </w:rPr>
            <w:t xml:space="preserve">AI Governance </w:t>
          </w:r>
          <w:r w:rsidR="00FC3791">
            <w:rPr>
              <w:rFonts w:eastAsia="Arial" w:cs="Arial"/>
              <w:b/>
              <w:color w:val="5B2D8E"/>
              <w:sz w:val="18"/>
            </w:rPr>
            <w:t>Toolkit | Tool</w:t>
          </w:r>
          <w:r>
            <w:rPr>
              <w:rFonts w:eastAsia="Arial" w:cs="Arial"/>
              <w:b/>
              <w:color w:val="5B2D8E"/>
              <w:sz w:val="18"/>
            </w:rPr>
            <w:t xml:space="preserve"> 4.1 — AI Quick Wins Planner</w:t>
          </w:r>
        </w:p>
      </w:tc>
      <w:tc>
        <w:tcPr>
          <w:tcW w:w="2835" w:type="dxa"/>
        </w:tcPr>
        <w:p w14:paraId="4D1FF1D9" w14:textId="77777777" w:rsidR="006A72CD" w:rsidRDefault="00000000">
          <w:pPr>
            <w:pBdr>
              <w:bottom w:val="single" w:sz="6" w:space="1" w:color="5B2D8E"/>
            </w:pBdr>
            <w:jc w:val="right"/>
          </w:pPr>
          <w:r>
            <w:rPr>
              <w:rFonts w:eastAsia="Arial" w:cs="Arial"/>
              <w:color w:val="555555"/>
              <w:sz w:val="18"/>
            </w:rPr>
            <w:t>Instruction Guide</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88174AE"/>
    <w:multiLevelType w:val="multilevel"/>
    <w:tmpl w:val="06AC4CDC"/>
    <w:lvl w:ilvl="0">
      <w:start w:val="1"/>
      <w:numFmt w:val="decimal"/>
      <w:lvlText w:val="%1.0"/>
      <w:lvlJc w:val="left"/>
      <w:pPr>
        <w:ind w:left="408" w:hanging="408"/>
      </w:pPr>
      <w:rPr>
        <w:rFonts w:eastAsia="Arial" w:cs="Arial" w:hint="default"/>
        <w:color w:val="1A1A1A"/>
        <w:sz w:val="20"/>
      </w:rPr>
    </w:lvl>
    <w:lvl w:ilvl="1">
      <w:start w:val="1"/>
      <w:numFmt w:val="decimal"/>
      <w:lvlText w:val="%1.%2"/>
      <w:lvlJc w:val="left"/>
      <w:pPr>
        <w:ind w:left="1128" w:hanging="408"/>
      </w:pPr>
      <w:rPr>
        <w:rFonts w:eastAsia="Arial" w:cs="Arial" w:hint="default"/>
        <w:color w:val="1A1A1A"/>
        <w:sz w:val="20"/>
      </w:rPr>
    </w:lvl>
    <w:lvl w:ilvl="2">
      <w:start w:val="1"/>
      <w:numFmt w:val="decimal"/>
      <w:lvlText w:val="%1.%2.%3"/>
      <w:lvlJc w:val="left"/>
      <w:pPr>
        <w:ind w:left="2160" w:hanging="720"/>
      </w:pPr>
      <w:rPr>
        <w:rFonts w:eastAsia="Arial" w:cs="Arial" w:hint="default"/>
        <w:color w:val="1A1A1A"/>
        <w:sz w:val="20"/>
      </w:rPr>
    </w:lvl>
    <w:lvl w:ilvl="3">
      <w:start w:val="1"/>
      <w:numFmt w:val="decimal"/>
      <w:lvlText w:val="%1.%2.%3.%4"/>
      <w:lvlJc w:val="left"/>
      <w:pPr>
        <w:ind w:left="2880" w:hanging="720"/>
      </w:pPr>
      <w:rPr>
        <w:rFonts w:eastAsia="Arial" w:cs="Arial" w:hint="default"/>
        <w:color w:val="1A1A1A"/>
        <w:sz w:val="20"/>
      </w:rPr>
    </w:lvl>
    <w:lvl w:ilvl="4">
      <w:start w:val="1"/>
      <w:numFmt w:val="decimal"/>
      <w:lvlText w:val="%1.%2.%3.%4.%5"/>
      <w:lvlJc w:val="left"/>
      <w:pPr>
        <w:ind w:left="3960" w:hanging="1080"/>
      </w:pPr>
      <w:rPr>
        <w:rFonts w:eastAsia="Arial" w:cs="Arial" w:hint="default"/>
        <w:color w:val="1A1A1A"/>
        <w:sz w:val="20"/>
      </w:rPr>
    </w:lvl>
    <w:lvl w:ilvl="5">
      <w:start w:val="1"/>
      <w:numFmt w:val="decimal"/>
      <w:lvlText w:val="%1.%2.%3.%4.%5.%6"/>
      <w:lvlJc w:val="left"/>
      <w:pPr>
        <w:ind w:left="4680" w:hanging="1080"/>
      </w:pPr>
      <w:rPr>
        <w:rFonts w:eastAsia="Arial" w:cs="Arial" w:hint="default"/>
        <w:color w:val="1A1A1A"/>
        <w:sz w:val="20"/>
      </w:rPr>
    </w:lvl>
    <w:lvl w:ilvl="6">
      <w:start w:val="1"/>
      <w:numFmt w:val="decimal"/>
      <w:lvlText w:val="%1.%2.%3.%4.%5.%6.%7"/>
      <w:lvlJc w:val="left"/>
      <w:pPr>
        <w:ind w:left="5760" w:hanging="1440"/>
      </w:pPr>
      <w:rPr>
        <w:rFonts w:eastAsia="Arial" w:cs="Arial" w:hint="default"/>
        <w:color w:val="1A1A1A"/>
        <w:sz w:val="20"/>
      </w:rPr>
    </w:lvl>
    <w:lvl w:ilvl="7">
      <w:start w:val="1"/>
      <w:numFmt w:val="decimal"/>
      <w:lvlText w:val="%1.%2.%3.%4.%5.%6.%7.%8"/>
      <w:lvlJc w:val="left"/>
      <w:pPr>
        <w:ind w:left="6480" w:hanging="1440"/>
      </w:pPr>
      <w:rPr>
        <w:rFonts w:eastAsia="Arial" w:cs="Arial" w:hint="default"/>
        <w:color w:val="1A1A1A"/>
        <w:sz w:val="20"/>
      </w:rPr>
    </w:lvl>
    <w:lvl w:ilvl="8">
      <w:start w:val="1"/>
      <w:numFmt w:val="decimal"/>
      <w:lvlText w:val="%1.%2.%3.%4.%5.%6.%7.%8.%9"/>
      <w:lvlJc w:val="left"/>
      <w:pPr>
        <w:ind w:left="7560" w:hanging="1800"/>
      </w:pPr>
      <w:rPr>
        <w:rFonts w:eastAsia="Arial" w:cs="Arial" w:hint="default"/>
        <w:color w:val="1A1A1A"/>
        <w:sz w:val="20"/>
      </w:rPr>
    </w:lvl>
  </w:abstractNum>
  <w:num w:numId="1" w16cid:durableId="1272740836">
    <w:abstractNumId w:val="8"/>
  </w:num>
  <w:num w:numId="2" w16cid:durableId="1523975827">
    <w:abstractNumId w:val="6"/>
  </w:num>
  <w:num w:numId="3" w16cid:durableId="712852460">
    <w:abstractNumId w:val="5"/>
  </w:num>
  <w:num w:numId="4" w16cid:durableId="1063991278">
    <w:abstractNumId w:val="4"/>
  </w:num>
  <w:num w:numId="5" w16cid:durableId="570628241">
    <w:abstractNumId w:val="7"/>
  </w:num>
  <w:num w:numId="6" w16cid:durableId="681782275">
    <w:abstractNumId w:val="3"/>
  </w:num>
  <w:num w:numId="7" w16cid:durableId="803547113">
    <w:abstractNumId w:val="2"/>
  </w:num>
  <w:num w:numId="8" w16cid:durableId="1640651736">
    <w:abstractNumId w:val="1"/>
  </w:num>
  <w:num w:numId="9" w16cid:durableId="1196963398">
    <w:abstractNumId w:val="0"/>
  </w:num>
  <w:num w:numId="10" w16cid:durableId="1347592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3810"/>
    <w:rsid w:val="00140B85"/>
    <w:rsid w:val="0015074B"/>
    <w:rsid w:val="0029639D"/>
    <w:rsid w:val="002B1147"/>
    <w:rsid w:val="00326F90"/>
    <w:rsid w:val="00422E92"/>
    <w:rsid w:val="004A1323"/>
    <w:rsid w:val="00620AA4"/>
    <w:rsid w:val="006A72CD"/>
    <w:rsid w:val="00821F53"/>
    <w:rsid w:val="00831077"/>
    <w:rsid w:val="008A6D6D"/>
    <w:rsid w:val="00996763"/>
    <w:rsid w:val="00AA1D8D"/>
    <w:rsid w:val="00B47730"/>
    <w:rsid w:val="00CB0664"/>
    <w:rsid w:val="00D9412E"/>
    <w:rsid w:val="00FC379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92C5104F-8277-4720-8521-D9301942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D318BE-FDF5-40B5-B396-D301B0BFE668}">
  <we:reference id="WA200010725" version="1.0.0.1" store="Omex" storeType="OMEX"/>
  <we:alternateReferences>
    <we:reference id="WA200010725" version="1.0.0.1" store="WA200010725" storeType="OMEX"/>
  </we:alternateReferences>
  <we:properties>
    <we:property name="claude.fileId" value="&quot;c05cec1e-efa9-4eb4-8f0d-f57c33c08c0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Caroline Kinsella</cp:lastModifiedBy>
  <cp:revision>2</cp:revision>
  <cp:lastPrinted>2026-06-01T13:30:00Z</cp:lastPrinted>
  <dcterms:created xsi:type="dcterms:W3CDTF">2026-06-19T08:26:00Z</dcterms:created>
  <dcterms:modified xsi:type="dcterms:W3CDTF">2026-06-19T08:26:00Z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792bc-6405-4a33-b118-a7ed098a106e_Enabled">
    <vt:lpwstr>true</vt:lpwstr>
  </property>
  <property fmtid="{D5CDD505-2E9C-101B-9397-08002B2CF9AE}" pid="3" name="MSIP_Label_5e4792bc-6405-4a33-b118-a7ed098a106e_SetDate">
    <vt:lpwstr>2026-06-19T08:26:59Z</vt:lpwstr>
  </property>
  <property fmtid="{D5CDD505-2E9C-101B-9397-08002B2CF9AE}" pid="4" name="MSIP_Label_5e4792bc-6405-4a33-b118-a7ed098a106e_Method">
    <vt:lpwstr>Privileged</vt:lpwstr>
  </property>
  <property fmtid="{D5CDD505-2E9C-101B-9397-08002B2CF9AE}" pid="5" name="MSIP_Label_5e4792bc-6405-4a33-b118-a7ed098a106e_Name">
    <vt:lpwstr>General Correspondence</vt:lpwstr>
  </property>
  <property fmtid="{D5CDD505-2E9C-101B-9397-08002B2CF9AE}" pid="6" name="MSIP_Label_5e4792bc-6405-4a33-b118-a7ed098a106e_SiteId">
    <vt:lpwstr>c8286187-e1d8-431d-8103-3980a28298b2</vt:lpwstr>
  </property>
  <property fmtid="{D5CDD505-2E9C-101B-9397-08002B2CF9AE}" pid="7" name="MSIP_Label_5e4792bc-6405-4a33-b118-a7ed098a106e_ActionId">
    <vt:lpwstr>b0b609d0-ded6-49b8-9932-410bf4050ea3</vt:lpwstr>
  </property>
  <property fmtid="{D5CDD505-2E9C-101B-9397-08002B2CF9AE}" pid="8" name="MSIP_Label_5e4792bc-6405-4a33-b118-a7ed098a106e_ContentBits">
    <vt:lpwstr>0</vt:lpwstr>
  </property>
  <property fmtid="{D5CDD505-2E9C-101B-9397-08002B2CF9AE}" pid="9" name="MSIP_Label_5e4792bc-6405-4a33-b118-a7ed098a106e_Tag">
    <vt:lpwstr>10, 0, 1, 1</vt:lpwstr>
  </property>
</Properties>
</file>