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3DE01DD0"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320" w:type="dxa"/>
              <w:left w:w="360" w:type="dxa"/>
              <w:bottom w:w="320" w:type="dxa"/>
              <w:right w:w="360" w:type="dxa"/>
            </w:tcMar>
          </w:tcPr>
          <w:p w14:paraId="5AAD9CC3" w14:textId="77777777" w:rsidR="00C90FEF" w:rsidRDefault="0067374E">
            <w:pPr>
              <w:spacing w:after="160"/>
            </w:pPr>
            <w:r>
              <w:rPr>
                <w:noProof/>
              </w:rPr>
              <w:drawing>
                <wp:inline distT="0" distB="0" distL="0" distR="0" wp14:anchorId="157A893F" wp14:editId="18EFF727">
                  <wp:extent cx="1485900" cy="552450"/>
                  <wp:effectExtent l="0" t="0" r="0" b="0"/>
                  <wp:docPr id="1" name="IoD" descr="IoD logo" title="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85900" cy="552450"/>
                          </a:xfrm>
                          <a:prstGeom prst="rect">
                            <a:avLst/>
                          </a:prstGeom>
                        </pic:spPr>
                      </pic:pic>
                    </a:graphicData>
                  </a:graphic>
                </wp:inline>
              </w:drawing>
            </w:r>
          </w:p>
          <w:p w14:paraId="5163C7D2" w14:textId="77777777" w:rsidR="00C90FEF" w:rsidRPr="00613A73" w:rsidRDefault="0067374E">
            <w:pPr>
              <w:spacing w:after="60"/>
              <w:rPr>
                <w:b/>
                <w:bCs/>
              </w:rPr>
            </w:pPr>
            <w:r w:rsidRPr="00613A73">
              <w:rPr>
                <w:rFonts w:ascii="Arial" w:eastAsia="Arial" w:hAnsi="Arial" w:cs="Arial"/>
                <w:b/>
                <w:bCs/>
                <w:color w:val="FFFFFF"/>
                <w:sz w:val="22"/>
                <w:szCs w:val="22"/>
              </w:rPr>
              <w:t>Tool 3.1 — IoD AI Governance Toolkit</w:t>
            </w:r>
          </w:p>
          <w:p w14:paraId="7BF59B1A" w14:textId="588336DF" w:rsidR="00C90FEF" w:rsidRDefault="0058121B">
            <w:pPr>
              <w:spacing w:after="120"/>
            </w:pPr>
            <w:r>
              <w:rPr>
                <w:rFonts w:ascii="Arial" w:eastAsia="Arial" w:hAnsi="Arial" w:cs="Arial"/>
                <w:b/>
                <w:bCs/>
                <w:color w:val="FFFFFF"/>
                <w:sz w:val="40"/>
                <w:szCs w:val="40"/>
              </w:rPr>
              <w:t>Instructions on how to use Tool 3.1</w:t>
            </w:r>
          </w:p>
          <w:p w14:paraId="184C3028" w14:textId="267B8F7C" w:rsidR="00C90FEF" w:rsidRPr="00613A73" w:rsidRDefault="0067374E">
            <w:pPr>
              <w:spacing w:after="80"/>
              <w:rPr>
                <w:b/>
                <w:bCs/>
              </w:rPr>
            </w:pPr>
            <w:r w:rsidRPr="00613A73">
              <w:rPr>
                <w:rFonts w:ascii="Arial" w:eastAsia="Arial" w:hAnsi="Arial" w:cs="Arial"/>
                <w:b/>
                <w:bCs/>
                <w:color w:val="FFFFFF"/>
                <w:sz w:val="26"/>
                <w:szCs w:val="26"/>
              </w:rPr>
              <w:t xml:space="preserve">IoD AI Governance Toolkit </w:t>
            </w:r>
          </w:p>
        </w:tc>
      </w:tr>
    </w:tbl>
    <w:p w14:paraId="59E47FA4" w14:textId="77777777" w:rsidR="00C90FEF" w:rsidRDefault="00C90FEF">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0D13EA4A"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2E019092" w14:textId="52BE005A" w:rsidR="00C90FEF" w:rsidRDefault="0067374E">
            <w:r>
              <w:rPr>
                <w:rFonts w:ascii="Arial" w:eastAsia="Arial" w:hAnsi="Arial" w:cs="Arial"/>
                <w:b/>
                <w:bCs/>
                <w:color w:val="5B2D8E"/>
                <w:sz w:val="21"/>
                <w:szCs w:val="21"/>
              </w:rPr>
              <w:t xml:space="preserve">About this </w:t>
            </w:r>
            <w:r w:rsidR="0058121B">
              <w:rPr>
                <w:rFonts w:ascii="Arial" w:eastAsia="Arial" w:hAnsi="Arial" w:cs="Arial"/>
                <w:b/>
                <w:bCs/>
                <w:color w:val="5B2D8E"/>
                <w:sz w:val="21"/>
                <w:szCs w:val="21"/>
              </w:rPr>
              <w:t>Tool</w:t>
            </w:r>
          </w:p>
        </w:tc>
      </w:tr>
    </w:tbl>
    <w:p w14:paraId="500FC3AB" w14:textId="77777777" w:rsidR="00C90FEF" w:rsidRPr="0058121B" w:rsidRDefault="00C90FEF">
      <w:pPr>
        <w:spacing w:before="80"/>
        <w:rPr>
          <w:rFonts w:ascii="Arial" w:hAnsi="Arial" w:cs="Arial"/>
          <w:sz w:val="21"/>
          <w:szCs w:val="21"/>
        </w:rPr>
      </w:pPr>
    </w:p>
    <w:p w14:paraId="5882791B" w14:textId="77777777" w:rsidR="0058121B" w:rsidRPr="0058121B" w:rsidRDefault="0058121B" w:rsidP="0058121B">
      <w:pPr>
        <w:spacing w:before="80"/>
        <w:rPr>
          <w:rFonts w:ascii="Arial" w:hAnsi="Arial" w:cs="Arial"/>
          <w:sz w:val="21"/>
          <w:szCs w:val="21"/>
        </w:rPr>
      </w:pPr>
      <w:r w:rsidRPr="0058121B">
        <w:rPr>
          <w:rFonts w:ascii="Arial" w:hAnsi="Arial" w:cs="Arial"/>
          <w:b/>
          <w:bCs/>
          <w:sz w:val="21"/>
          <w:szCs w:val="21"/>
        </w:rPr>
        <w:t>Scope note:</w:t>
      </w:r>
      <w:r w:rsidRPr="0058121B">
        <w:rPr>
          <w:rFonts w:ascii="Arial" w:hAnsi="Arial" w:cs="Arial"/>
          <w:sz w:val="21"/>
          <w:szCs w:val="21"/>
        </w:rPr>
        <w:t> This audit covers governance capability — the ability to oversee and direct AI responsibly. It is distinct from a staff skills or training audit. Both tracks are designed for leadership teams and boards, not technical teams.</w:t>
      </w:r>
    </w:p>
    <w:p w14:paraId="206CE477"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Most organisations now use AI. Fewer have thought carefully about whether they are governing it well. This tool helps you answer that question honestly — across two connected dimensions.</w:t>
      </w:r>
    </w:p>
    <w:p w14:paraId="652BBE2C" w14:textId="77777777" w:rsidR="0058121B" w:rsidRDefault="0058121B" w:rsidP="0058121B">
      <w:pPr>
        <w:spacing w:before="80"/>
        <w:rPr>
          <w:rFonts w:ascii="Arial" w:hAnsi="Arial" w:cs="Arial"/>
          <w:b/>
          <w:bCs/>
          <w:sz w:val="21"/>
          <w:szCs w:val="21"/>
        </w:rPr>
      </w:pPr>
    </w:p>
    <w:p w14:paraId="0C85730A" w14:textId="44394C2A"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Track 1</w:t>
      </w:r>
    </w:p>
    <w:p w14:paraId="769AF6E2"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Director &amp; Board Capability</w:t>
      </w:r>
    </w:p>
    <w:p w14:paraId="31FE3B68"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Can your leadership team govern AI? This track assesses whether directors have the literacy, oversight skills, and regulatory awareness to discharge their governance duties.</w:t>
      </w:r>
    </w:p>
    <w:p w14:paraId="0139CFA4" w14:textId="77777777" w:rsidR="0058121B" w:rsidRPr="0058121B" w:rsidRDefault="0058121B" w:rsidP="0058121B">
      <w:pPr>
        <w:numPr>
          <w:ilvl w:val="0"/>
          <w:numId w:val="2"/>
        </w:numPr>
        <w:spacing w:before="80"/>
        <w:rPr>
          <w:rFonts w:ascii="Arial" w:hAnsi="Arial" w:cs="Arial"/>
          <w:sz w:val="21"/>
          <w:szCs w:val="21"/>
        </w:rPr>
      </w:pPr>
      <w:r w:rsidRPr="0058121B">
        <w:rPr>
          <w:rFonts w:ascii="Arial" w:hAnsi="Arial" w:cs="Arial"/>
          <w:sz w:val="21"/>
          <w:szCs w:val="21"/>
        </w:rPr>
        <w:t>AI literacy and regulatory awareness</w:t>
      </w:r>
    </w:p>
    <w:p w14:paraId="21DF654D" w14:textId="77777777" w:rsidR="0058121B" w:rsidRPr="0058121B" w:rsidRDefault="0058121B" w:rsidP="0058121B">
      <w:pPr>
        <w:numPr>
          <w:ilvl w:val="0"/>
          <w:numId w:val="2"/>
        </w:numPr>
        <w:spacing w:before="80"/>
        <w:rPr>
          <w:rFonts w:ascii="Arial" w:hAnsi="Arial" w:cs="Arial"/>
          <w:sz w:val="21"/>
          <w:szCs w:val="21"/>
        </w:rPr>
      </w:pPr>
      <w:r w:rsidRPr="0058121B">
        <w:rPr>
          <w:rFonts w:ascii="Arial" w:hAnsi="Arial" w:cs="Arial"/>
          <w:sz w:val="21"/>
          <w:szCs w:val="21"/>
        </w:rPr>
        <w:t>Strategic assessment capability</w:t>
      </w:r>
    </w:p>
    <w:p w14:paraId="123E0096" w14:textId="77777777" w:rsidR="0058121B" w:rsidRPr="0058121B" w:rsidRDefault="0058121B" w:rsidP="0058121B">
      <w:pPr>
        <w:numPr>
          <w:ilvl w:val="0"/>
          <w:numId w:val="2"/>
        </w:numPr>
        <w:spacing w:before="80"/>
        <w:rPr>
          <w:rFonts w:ascii="Arial" w:hAnsi="Arial" w:cs="Arial"/>
          <w:sz w:val="21"/>
          <w:szCs w:val="21"/>
        </w:rPr>
      </w:pPr>
      <w:r w:rsidRPr="0058121B">
        <w:rPr>
          <w:rFonts w:ascii="Arial" w:hAnsi="Arial" w:cs="Arial"/>
          <w:sz w:val="21"/>
          <w:szCs w:val="21"/>
        </w:rPr>
        <w:t>Oversight and accountability structures</w:t>
      </w:r>
    </w:p>
    <w:p w14:paraId="6FA92FA7" w14:textId="77777777" w:rsidR="0058121B" w:rsidRPr="0058121B" w:rsidRDefault="0058121B" w:rsidP="0058121B">
      <w:pPr>
        <w:numPr>
          <w:ilvl w:val="0"/>
          <w:numId w:val="2"/>
        </w:numPr>
        <w:spacing w:before="80"/>
        <w:rPr>
          <w:rFonts w:ascii="Arial" w:hAnsi="Arial" w:cs="Arial"/>
          <w:sz w:val="21"/>
          <w:szCs w:val="21"/>
        </w:rPr>
      </w:pPr>
      <w:r w:rsidRPr="0058121B">
        <w:rPr>
          <w:rFonts w:ascii="Arial" w:hAnsi="Arial" w:cs="Arial"/>
          <w:sz w:val="21"/>
          <w:szCs w:val="21"/>
        </w:rPr>
        <w:t>EU AI Act Article 4 readiness</w:t>
      </w:r>
    </w:p>
    <w:p w14:paraId="54AB7CC4" w14:textId="77777777" w:rsidR="0058121B" w:rsidRDefault="0058121B" w:rsidP="0058121B">
      <w:pPr>
        <w:spacing w:before="80"/>
        <w:rPr>
          <w:rFonts w:ascii="Arial" w:hAnsi="Arial" w:cs="Arial"/>
          <w:b/>
          <w:bCs/>
          <w:sz w:val="21"/>
          <w:szCs w:val="21"/>
        </w:rPr>
      </w:pPr>
    </w:p>
    <w:p w14:paraId="489601DB" w14:textId="5A2B92CC"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Track 2</w:t>
      </w:r>
    </w:p>
    <w:p w14:paraId="3DD20B3F"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Organisational Readiness</w:t>
      </w:r>
    </w:p>
    <w:p w14:paraId="3E063DD0"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Has the organisation built what it needs? This track assesses whether the structures, policies, and culture are in place to support responsible AI adoption.</w:t>
      </w:r>
    </w:p>
    <w:p w14:paraId="107E2ACF" w14:textId="77777777" w:rsidR="0058121B" w:rsidRPr="0058121B" w:rsidRDefault="0058121B" w:rsidP="0058121B">
      <w:pPr>
        <w:numPr>
          <w:ilvl w:val="0"/>
          <w:numId w:val="3"/>
        </w:numPr>
        <w:spacing w:before="80"/>
        <w:rPr>
          <w:rFonts w:ascii="Arial" w:hAnsi="Arial" w:cs="Arial"/>
          <w:sz w:val="21"/>
          <w:szCs w:val="21"/>
        </w:rPr>
      </w:pPr>
      <w:r w:rsidRPr="0058121B">
        <w:rPr>
          <w:rFonts w:ascii="Arial" w:hAnsi="Arial" w:cs="Arial"/>
          <w:sz w:val="21"/>
          <w:szCs w:val="21"/>
        </w:rPr>
        <w:t>AI visibility and inventory</w:t>
      </w:r>
    </w:p>
    <w:p w14:paraId="533CFD4C" w14:textId="77777777" w:rsidR="0058121B" w:rsidRPr="0058121B" w:rsidRDefault="0058121B" w:rsidP="0058121B">
      <w:pPr>
        <w:numPr>
          <w:ilvl w:val="0"/>
          <w:numId w:val="3"/>
        </w:numPr>
        <w:spacing w:before="80"/>
        <w:rPr>
          <w:rFonts w:ascii="Arial" w:hAnsi="Arial" w:cs="Arial"/>
          <w:sz w:val="21"/>
          <w:szCs w:val="21"/>
        </w:rPr>
      </w:pPr>
      <w:r w:rsidRPr="0058121B">
        <w:rPr>
          <w:rFonts w:ascii="Arial" w:hAnsi="Arial" w:cs="Arial"/>
          <w:sz w:val="21"/>
          <w:szCs w:val="21"/>
        </w:rPr>
        <w:t>Policy and governance structures</w:t>
      </w:r>
    </w:p>
    <w:p w14:paraId="65CE2BFE" w14:textId="77777777" w:rsidR="0058121B" w:rsidRPr="0058121B" w:rsidRDefault="0058121B" w:rsidP="0058121B">
      <w:pPr>
        <w:numPr>
          <w:ilvl w:val="0"/>
          <w:numId w:val="3"/>
        </w:numPr>
        <w:spacing w:before="80"/>
        <w:rPr>
          <w:rFonts w:ascii="Arial" w:hAnsi="Arial" w:cs="Arial"/>
          <w:sz w:val="21"/>
          <w:szCs w:val="21"/>
        </w:rPr>
      </w:pPr>
      <w:r w:rsidRPr="0058121B">
        <w:rPr>
          <w:rFonts w:ascii="Arial" w:hAnsi="Arial" w:cs="Arial"/>
          <w:sz w:val="21"/>
          <w:szCs w:val="21"/>
        </w:rPr>
        <w:t>Data stewardship capability</w:t>
      </w:r>
    </w:p>
    <w:p w14:paraId="317A91E1" w14:textId="77777777" w:rsidR="0058121B" w:rsidRPr="0058121B" w:rsidRDefault="0058121B" w:rsidP="0058121B">
      <w:pPr>
        <w:numPr>
          <w:ilvl w:val="0"/>
          <w:numId w:val="3"/>
        </w:numPr>
        <w:spacing w:before="80"/>
        <w:rPr>
          <w:rFonts w:ascii="Arial" w:hAnsi="Arial" w:cs="Arial"/>
          <w:sz w:val="21"/>
          <w:szCs w:val="21"/>
        </w:rPr>
      </w:pPr>
      <w:r w:rsidRPr="0058121B">
        <w:rPr>
          <w:rFonts w:ascii="Arial" w:hAnsi="Arial" w:cs="Arial"/>
          <w:sz w:val="21"/>
          <w:szCs w:val="21"/>
        </w:rPr>
        <w:t>Cultural readiness and change</w:t>
      </w:r>
    </w:p>
    <w:p w14:paraId="58DD33B7" w14:textId="77777777" w:rsidR="0058121B" w:rsidRDefault="0058121B" w:rsidP="0058121B">
      <w:pPr>
        <w:spacing w:before="80"/>
        <w:rPr>
          <w:rFonts w:ascii="Arial" w:hAnsi="Arial" w:cs="Arial"/>
          <w:sz w:val="21"/>
          <w:szCs w:val="21"/>
        </w:rPr>
      </w:pPr>
    </w:p>
    <w:p w14:paraId="463B4013" w14:textId="51DE512E" w:rsidR="0058121B" w:rsidRPr="0058121B" w:rsidRDefault="0058121B" w:rsidP="0058121B">
      <w:pPr>
        <w:spacing w:before="80"/>
        <w:rPr>
          <w:rFonts w:ascii="Arial" w:hAnsi="Arial" w:cs="Arial"/>
          <w:sz w:val="21"/>
          <w:szCs w:val="21"/>
        </w:rPr>
      </w:pPr>
      <w:r w:rsidRPr="0058121B">
        <w:rPr>
          <w:rFonts w:ascii="Arial" w:hAnsi="Arial" w:cs="Arial"/>
          <w:sz w:val="21"/>
          <w:szCs w:val="21"/>
        </w:rPr>
        <w:t xml:space="preserve">Questions are behavioural and evidence-based — not confidence ratings. The assessment is designed to surface real gaps, not ratify stated positions. Research consistently shows that boards overestimate governance capability when asked attitudinally: the gap between "we feel confident" and "we can demonstrate it" is where most AI governance failures </w:t>
      </w:r>
      <w:proofErr w:type="gramStart"/>
      <w:r w:rsidRPr="0058121B">
        <w:rPr>
          <w:rFonts w:ascii="Arial" w:hAnsi="Arial" w:cs="Arial"/>
          <w:sz w:val="21"/>
          <w:szCs w:val="21"/>
        </w:rPr>
        <w:t>occur.</w:t>
      </w:r>
      <w:r w:rsidRPr="0058121B">
        <w:rPr>
          <w:rFonts w:ascii="Arial" w:hAnsi="Arial" w:cs="Arial"/>
          <w:sz w:val="21"/>
          <w:szCs w:val="21"/>
          <w:vertAlign w:val="superscript"/>
        </w:rPr>
        <w:t>*</w:t>
      </w:r>
      <w:proofErr w:type="gramEnd"/>
    </w:p>
    <w:p w14:paraId="6A1602D9" w14:textId="77777777" w:rsidR="0058121B" w:rsidRPr="0058121B" w:rsidRDefault="0058121B" w:rsidP="0058121B">
      <w:pPr>
        <w:spacing w:before="80"/>
        <w:rPr>
          <w:rFonts w:ascii="Arial" w:hAnsi="Arial" w:cs="Arial"/>
          <w:sz w:val="18"/>
          <w:szCs w:val="18"/>
        </w:rPr>
      </w:pPr>
      <w:r w:rsidRPr="0058121B">
        <w:rPr>
          <w:rFonts w:ascii="Arial" w:hAnsi="Arial" w:cs="Arial"/>
          <w:sz w:val="18"/>
          <w:szCs w:val="18"/>
          <w:vertAlign w:val="superscript"/>
        </w:rPr>
        <w:t>*</w:t>
      </w:r>
      <w:r w:rsidRPr="0058121B">
        <w:rPr>
          <w:rFonts w:ascii="Arial" w:hAnsi="Arial" w:cs="Arial"/>
          <w:sz w:val="18"/>
          <w:szCs w:val="18"/>
        </w:rPr>
        <w:t> Board Intelligence AI Readiness Radar, 2026: only 10% of boards assessed across 11 countries could be considered AI-ready.</w:t>
      </w:r>
    </w:p>
    <w:p w14:paraId="17D0EDAA" w14:textId="77777777" w:rsidR="0058121B" w:rsidRDefault="0058121B" w:rsidP="0058121B">
      <w:pPr>
        <w:spacing w:before="80"/>
        <w:rPr>
          <w:rFonts w:ascii="Arial" w:hAnsi="Arial" w:cs="Arial"/>
          <w:b/>
          <w:bCs/>
          <w:sz w:val="21"/>
          <w:szCs w:val="21"/>
        </w:rPr>
      </w:pPr>
    </w:p>
    <w:p w14:paraId="6C064B07" w14:textId="77777777" w:rsidR="0058121B" w:rsidRDefault="0058121B" w:rsidP="0058121B">
      <w:pPr>
        <w:spacing w:before="80"/>
        <w:rPr>
          <w:rFonts w:ascii="Arial" w:hAnsi="Arial" w:cs="Arial"/>
          <w:b/>
          <w:bCs/>
          <w:sz w:val="21"/>
          <w:szCs w:val="21"/>
        </w:rPr>
      </w:pPr>
    </w:p>
    <w:p w14:paraId="697838E3" w14:textId="453A6375" w:rsidR="0058121B" w:rsidRPr="0058121B" w:rsidRDefault="0058121B" w:rsidP="0058121B">
      <w:pPr>
        <w:spacing w:before="80"/>
        <w:rPr>
          <w:rFonts w:ascii="Arial" w:hAnsi="Arial" w:cs="Arial"/>
          <w:sz w:val="21"/>
          <w:szCs w:val="21"/>
        </w:rPr>
      </w:pPr>
      <w:r w:rsidRPr="0058121B">
        <w:rPr>
          <w:rFonts w:ascii="Arial" w:hAnsi="Arial" w:cs="Arial"/>
          <w:b/>
          <w:bCs/>
          <w:sz w:val="21"/>
          <w:szCs w:val="21"/>
        </w:rPr>
        <w:lastRenderedPageBreak/>
        <w:t>Output</w:t>
      </w:r>
    </w:p>
    <w:p w14:paraId="442B588C" w14:textId="28970435" w:rsidR="0058121B" w:rsidRPr="0058121B" w:rsidRDefault="0058121B" w:rsidP="0058121B">
      <w:pPr>
        <w:spacing w:before="80"/>
        <w:rPr>
          <w:rFonts w:ascii="Arial" w:hAnsi="Arial" w:cs="Arial"/>
          <w:sz w:val="21"/>
          <w:szCs w:val="21"/>
        </w:rPr>
      </w:pPr>
      <w:r w:rsidRPr="0058121B">
        <w:rPr>
          <w:rFonts w:ascii="Arial" w:hAnsi="Arial" w:cs="Arial"/>
          <w:sz w:val="21"/>
          <w:szCs w:val="21"/>
        </w:rPr>
        <w:t xml:space="preserve">A maturity profile across both tracks, scored at one of four stages: Ad Hoc, Emerging, Structured, or Integrated. The profile highlights your most significant gaps, flags regulatory exposure under the EU AI Act and Ireland's Regulation of AI Bill </w:t>
      </w:r>
      <w:r w:rsidRPr="0058121B">
        <w:rPr>
          <w:rFonts w:ascii="Arial" w:hAnsi="Arial" w:cs="Arial"/>
          <w:sz w:val="21"/>
          <w:szCs w:val="21"/>
        </w:rPr>
        <w:t>2026 and</w:t>
      </w:r>
      <w:r w:rsidRPr="0058121B">
        <w:rPr>
          <w:rFonts w:ascii="Arial" w:hAnsi="Arial" w:cs="Arial"/>
          <w:sz w:val="21"/>
          <w:szCs w:val="21"/>
        </w:rPr>
        <w:t xml:space="preserve"> produces a prioritised action list scaled to your organisation's size.</w:t>
      </w:r>
    </w:p>
    <w:p w14:paraId="4ACCAD0D" w14:textId="77777777" w:rsidR="0058121B" w:rsidRDefault="0058121B">
      <w:pPr>
        <w:spacing w:before="80"/>
      </w:pPr>
    </w:p>
    <w:p w14:paraId="07D24619" w14:textId="77777777" w:rsidR="00C90FEF" w:rsidRDefault="0067374E">
      <w:pPr>
        <w:spacing w:before="80" w:after="80"/>
      </w:pPr>
      <w:r>
        <w:rPr>
          <w:rFonts w:ascii="Arial" w:eastAsia="Arial" w:hAnsi="Arial" w:cs="Arial"/>
          <w:color w:val="1A1A1A"/>
          <w:sz w:val="21"/>
          <w:szCs w:val="21"/>
        </w:rPr>
        <w:t>This audit helps your leadership team answer one question honestly: do we have the capability to govern AI, and have we built the structures to support responsible adoption?</w:t>
      </w:r>
    </w:p>
    <w:p w14:paraId="70E5A9EC" w14:textId="77777777" w:rsidR="0058121B" w:rsidRDefault="0058121B">
      <w:pPr>
        <w:spacing w:before="80" w:after="80"/>
        <w:rPr>
          <w:rFonts w:ascii="Arial" w:eastAsia="Arial" w:hAnsi="Arial" w:cs="Arial"/>
          <w:color w:val="1A1A1A"/>
          <w:sz w:val="21"/>
          <w:szCs w:val="21"/>
        </w:rPr>
      </w:pPr>
    </w:p>
    <w:p w14:paraId="33443C3F" w14:textId="48794F57" w:rsidR="00613A73" w:rsidRDefault="0067374E">
      <w:pPr>
        <w:spacing w:before="80" w:after="80"/>
        <w:rPr>
          <w:rFonts w:ascii="Arial" w:eastAsia="Arial" w:hAnsi="Arial" w:cs="Arial"/>
          <w:color w:val="1A1A1A"/>
          <w:sz w:val="21"/>
          <w:szCs w:val="21"/>
        </w:rPr>
      </w:pPr>
      <w:r>
        <w:rPr>
          <w:rFonts w:ascii="Arial" w:eastAsia="Arial" w:hAnsi="Arial" w:cs="Arial"/>
          <w:color w:val="1A1A1A"/>
          <w:sz w:val="21"/>
          <w:szCs w:val="21"/>
        </w:rPr>
        <w:t xml:space="preserve">It runs across two connected tracks. </w:t>
      </w:r>
    </w:p>
    <w:p w14:paraId="21C4584C" w14:textId="77777777" w:rsidR="00613A73" w:rsidRDefault="0067374E">
      <w:pPr>
        <w:spacing w:before="80" w:after="80"/>
        <w:rPr>
          <w:rFonts w:ascii="Arial" w:eastAsia="Arial" w:hAnsi="Arial" w:cs="Arial"/>
          <w:color w:val="1A1A1A"/>
          <w:sz w:val="21"/>
          <w:szCs w:val="21"/>
        </w:rPr>
      </w:pPr>
      <w:r w:rsidRPr="0058121B">
        <w:rPr>
          <w:rFonts w:ascii="Arial" w:eastAsia="Arial" w:hAnsi="Arial" w:cs="Arial"/>
          <w:b/>
          <w:bCs/>
          <w:color w:val="1A1A1A"/>
          <w:sz w:val="21"/>
          <w:szCs w:val="21"/>
        </w:rPr>
        <w:t>Track 1</w:t>
      </w:r>
      <w:r>
        <w:rPr>
          <w:rFonts w:ascii="Arial" w:eastAsia="Arial" w:hAnsi="Arial" w:cs="Arial"/>
          <w:color w:val="1A1A1A"/>
          <w:sz w:val="21"/>
          <w:szCs w:val="21"/>
        </w:rPr>
        <w:t xml:space="preserve"> assesses director and board governance capability </w:t>
      </w:r>
      <w:r w:rsidR="00613A73">
        <w:rPr>
          <w:rFonts w:ascii="Arial" w:eastAsia="Arial" w:hAnsi="Arial" w:cs="Arial"/>
          <w:color w:val="1A1A1A"/>
          <w:sz w:val="21"/>
          <w:szCs w:val="21"/>
        </w:rPr>
        <w:t>- literacy</w:t>
      </w:r>
      <w:r>
        <w:rPr>
          <w:rFonts w:ascii="Arial" w:eastAsia="Arial" w:hAnsi="Arial" w:cs="Arial"/>
          <w:color w:val="1A1A1A"/>
          <w:sz w:val="21"/>
          <w:szCs w:val="21"/>
        </w:rPr>
        <w:t xml:space="preserve">, oversight skills, and regulatory awareness. </w:t>
      </w:r>
    </w:p>
    <w:p w14:paraId="28D7F1CB" w14:textId="5BC7F9BB" w:rsidR="00C90FEF" w:rsidRDefault="0067374E">
      <w:pPr>
        <w:spacing w:before="80" w:after="80"/>
      </w:pPr>
      <w:r w:rsidRPr="0058121B">
        <w:rPr>
          <w:rFonts w:ascii="Arial" w:eastAsia="Arial" w:hAnsi="Arial" w:cs="Arial"/>
          <w:b/>
          <w:bCs/>
          <w:color w:val="1A1A1A"/>
          <w:sz w:val="21"/>
          <w:szCs w:val="21"/>
        </w:rPr>
        <w:t>Track 2</w:t>
      </w:r>
      <w:r>
        <w:rPr>
          <w:rFonts w:ascii="Arial" w:eastAsia="Arial" w:hAnsi="Arial" w:cs="Arial"/>
          <w:color w:val="1A1A1A"/>
          <w:sz w:val="21"/>
          <w:szCs w:val="21"/>
        </w:rPr>
        <w:t xml:space="preserve"> assesses organisational readiness </w:t>
      </w:r>
      <w:r w:rsidR="00613A73">
        <w:rPr>
          <w:rFonts w:ascii="Arial" w:eastAsia="Arial" w:hAnsi="Arial" w:cs="Arial"/>
          <w:color w:val="1A1A1A"/>
          <w:sz w:val="21"/>
          <w:szCs w:val="21"/>
        </w:rPr>
        <w:t>-</w:t>
      </w:r>
      <w:r>
        <w:rPr>
          <w:rFonts w:ascii="Arial" w:eastAsia="Arial" w:hAnsi="Arial" w:cs="Arial"/>
          <w:color w:val="1A1A1A"/>
          <w:sz w:val="21"/>
          <w:szCs w:val="21"/>
        </w:rPr>
        <w:t xml:space="preserve"> policy, structures, data stewardship, and culture. Complete both tracks together as a leadership team, not individually.</w:t>
      </w:r>
    </w:p>
    <w:p w14:paraId="7F63C1DF" w14:textId="1617DAFB" w:rsidR="00C90FEF" w:rsidRDefault="0067374E">
      <w:pPr>
        <w:spacing w:before="80" w:after="80"/>
        <w:rPr>
          <w:rFonts w:ascii="Arial" w:eastAsia="Arial" w:hAnsi="Arial" w:cs="Arial"/>
          <w:color w:val="1A1A1A"/>
          <w:sz w:val="21"/>
          <w:szCs w:val="21"/>
        </w:rPr>
      </w:pPr>
      <w:r>
        <w:rPr>
          <w:rFonts w:ascii="Arial" w:eastAsia="Arial" w:hAnsi="Arial" w:cs="Arial"/>
          <w:color w:val="1A1A1A"/>
          <w:sz w:val="21"/>
          <w:szCs w:val="21"/>
        </w:rPr>
        <w:t xml:space="preserve">Questions are behavioural and </w:t>
      </w:r>
      <w:r w:rsidR="00613A73">
        <w:rPr>
          <w:rFonts w:ascii="Arial" w:eastAsia="Arial" w:hAnsi="Arial" w:cs="Arial"/>
          <w:color w:val="1A1A1A"/>
          <w:sz w:val="21"/>
          <w:szCs w:val="21"/>
        </w:rPr>
        <w:t>evidence based</w:t>
      </w:r>
      <w:r>
        <w:rPr>
          <w:rFonts w:ascii="Arial" w:eastAsia="Arial" w:hAnsi="Arial" w:cs="Arial"/>
          <w:color w:val="1A1A1A"/>
          <w:sz w:val="21"/>
          <w:szCs w:val="21"/>
        </w:rPr>
        <w:t>. Where a question asks for a named document, a named person, or a recent date and you cannot answer</w:t>
      </w:r>
      <w:r w:rsidR="00613A73">
        <w:rPr>
          <w:rFonts w:ascii="Arial" w:eastAsia="Arial" w:hAnsi="Arial" w:cs="Arial"/>
          <w:color w:val="1A1A1A"/>
          <w:sz w:val="21"/>
          <w:szCs w:val="21"/>
        </w:rPr>
        <w:t>,</w:t>
      </w:r>
      <w:r>
        <w:rPr>
          <w:rFonts w:ascii="Arial" w:eastAsia="Arial" w:hAnsi="Arial" w:cs="Arial"/>
          <w:color w:val="1A1A1A"/>
          <w:sz w:val="21"/>
          <w:szCs w:val="21"/>
        </w:rPr>
        <w:t xml:space="preserve"> record that directly. The inability to name an artefact is itself a governance finding.</w:t>
      </w:r>
    </w:p>
    <w:p w14:paraId="72BB621A" w14:textId="77777777" w:rsidR="0058121B" w:rsidRDefault="0058121B">
      <w:pPr>
        <w:spacing w:before="80" w:after="80"/>
        <w:rPr>
          <w:rFonts w:ascii="Arial" w:eastAsia="Arial" w:hAnsi="Arial" w:cs="Arial"/>
          <w:color w:val="1A1A1A"/>
          <w:sz w:val="21"/>
          <w:szCs w:val="21"/>
        </w:rPr>
      </w:pPr>
    </w:p>
    <w:p w14:paraId="1820F245" w14:textId="4DA0A060" w:rsidR="0058121B" w:rsidRPr="0058121B" w:rsidRDefault="0058121B" w:rsidP="0058121B">
      <w:pPr>
        <w:rPr>
          <w:rFonts w:ascii="Arial" w:eastAsia="Arial" w:hAnsi="Arial" w:cs="Arial"/>
          <w:b/>
          <w:bCs/>
          <w:color w:val="5B2D8E"/>
          <w:sz w:val="28"/>
          <w:szCs w:val="28"/>
        </w:rPr>
      </w:pPr>
      <w:r w:rsidRPr="0058121B">
        <w:rPr>
          <w:rFonts w:ascii="Arial" w:eastAsia="Arial" w:hAnsi="Arial" w:cs="Arial"/>
          <w:b/>
          <w:bCs/>
          <w:color w:val="5B2D8E"/>
          <w:sz w:val="28"/>
          <w:szCs w:val="28"/>
        </w:rPr>
        <w:t>How to use it.</w:t>
      </w:r>
    </w:p>
    <w:p w14:paraId="68F6215B" w14:textId="77777777" w:rsidR="0058121B" w:rsidRPr="0058121B" w:rsidRDefault="0058121B" w:rsidP="0058121B">
      <w:pPr>
        <w:rPr>
          <w:rFonts w:ascii="Arial" w:eastAsia="Arial" w:hAnsi="Arial" w:cs="Arial"/>
          <w:b/>
          <w:bCs/>
          <w:color w:val="1A1A1A"/>
          <w:sz w:val="21"/>
          <w:szCs w:val="21"/>
        </w:rPr>
      </w:pPr>
    </w:p>
    <w:p w14:paraId="3D504E68"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The audit is designed for collective completion by the leadership team — not individual self-assessment. When directors complete it together and must agree on a score, disagreement between them is itself a governance signal.</w:t>
      </w:r>
    </w:p>
    <w:p w14:paraId="4CDCC71E"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Download the Audit Template</w:t>
      </w:r>
    </w:p>
    <w:p w14:paraId="4CCFB3D9"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The Word document contains both tracks with all assessment questions, a No / Sometimes / Yes scoring guide, and space to record evidence and agreed actions. Print one copy per participant or use a shared screen.</w:t>
      </w:r>
    </w:p>
    <w:p w14:paraId="57335F87"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Complete Track 1 first — Director &amp; Board Capability</w:t>
      </w:r>
    </w:p>
    <w:p w14:paraId="68E493C2"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Work through the five director capability domains together. For each question, agree a score before moving on. If directors give different answers, explore why — the divergence is data.</w:t>
      </w:r>
    </w:p>
    <w:p w14:paraId="240571E3"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Complete Track 2 — Organisational Readiness</w:t>
      </w:r>
    </w:p>
    <w:p w14:paraId="7FEEE754"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Work through the six organisational readiness domains. Where a question asks for a named document, a named person, or a recent date — and you cannot answer — record that directly. Absence of an artefact is a gap.</w:t>
      </w:r>
    </w:p>
    <w:p w14:paraId="0B2D87DE"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Transfer scores to the Excel Workbook</w:t>
      </w:r>
    </w:p>
    <w:p w14:paraId="6CC1F6FC"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Enter your scores in the Capability &amp; Readiness Tracker. The workbook calculates your maturity stage per domain, produces a gap map, and flags the highest-priority actions based on impact and current maturity.</w:t>
      </w:r>
    </w:p>
    <w:p w14:paraId="682D093F"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Agree actions and owners</w:t>
      </w:r>
    </w:p>
    <w:p w14:paraId="22C89EB7" w14:textId="77777777" w:rsidR="0058121B" w:rsidRPr="0058121B" w:rsidRDefault="0058121B" w:rsidP="0058121B">
      <w:pPr>
        <w:spacing w:before="80" w:after="80"/>
        <w:rPr>
          <w:rFonts w:ascii="Arial" w:hAnsi="Arial" w:cs="Arial"/>
          <w:sz w:val="21"/>
          <w:szCs w:val="21"/>
        </w:rPr>
      </w:pPr>
      <w:r w:rsidRPr="0058121B">
        <w:rPr>
          <w:rFonts w:ascii="Arial" w:hAnsi="Arial" w:cs="Arial"/>
          <w:sz w:val="21"/>
          <w:szCs w:val="21"/>
        </w:rPr>
        <w:t>Use the Action Plan tab to assign a named owner and timeline to each priority gap. The Facilitation Guide (included with the Audit Template) provides suggested next steps per domain.</w:t>
      </w:r>
    </w:p>
    <w:p w14:paraId="057D8A62" w14:textId="77777777" w:rsidR="0058121B" w:rsidRPr="0058121B" w:rsidRDefault="0058121B" w:rsidP="0058121B">
      <w:pPr>
        <w:spacing w:before="80" w:after="80"/>
        <w:rPr>
          <w:rFonts w:ascii="Arial" w:hAnsi="Arial" w:cs="Arial"/>
          <w:sz w:val="21"/>
          <w:szCs w:val="21"/>
        </w:rPr>
      </w:pPr>
      <w:r w:rsidRPr="0058121B">
        <w:rPr>
          <w:rFonts w:ascii="Arial" w:hAnsi="Arial" w:cs="Arial"/>
          <w:b/>
          <w:bCs/>
          <w:sz w:val="21"/>
          <w:szCs w:val="21"/>
        </w:rPr>
        <w:t>Review quarterly</w:t>
      </w:r>
    </w:p>
    <w:p w14:paraId="3C32720C" w14:textId="77777777" w:rsidR="0058121B" w:rsidRDefault="0058121B" w:rsidP="0058121B">
      <w:pPr>
        <w:spacing w:before="80" w:after="80"/>
        <w:rPr>
          <w:rFonts w:ascii="Arial" w:hAnsi="Arial" w:cs="Arial"/>
          <w:sz w:val="21"/>
          <w:szCs w:val="21"/>
        </w:rPr>
      </w:pPr>
      <w:r w:rsidRPr="0058121B">
        <w:rPr>
          <w:rFonts w:ascii="Arial" w:hAnsi="Arial" w:cs="Arial"/>
          <w:sz w:val="21"/>
          <w:szCs w:val="21"/>
        </w:rPr>
        <w:t>Re-run the assessment every quarter, or when a significant AI development occurs in your organisation. Track maturity progression over time using the tracker's built-in comparison.</w:t>
      </w:r>
    </w:p>
    <w:p w14:paraId="560827DE" w14:textId="7E048C63" w:rsidR="0058121B" w:rsidRDefault="0058121B" w:rsidP="0058121B">
      <w:pPr>
        <w:spacing w:before="80" w:after="80"/>
        <w:rPr>
          <w:rFonts w:ascii="Arial" w:hAnsi="Arial" w:cs="Arial"/>
          <w:sz w:val="21"/>
          <w:szCs w:val="21"/>
        </w:rPr>
      </w:pPr>
    </w:p>
    <w:p w14:paraId="2662D2C5" w14:textId="77777777" w:rsidR="0058121B" w:rsidRDefault="0058121B" w:rsidP="0058121B">
      <w:pPr>
        <w:spacing w:before="80" w:after="80"/>
        <w:rPr>
          <w:rFonts w:ascii="Arial" w:hAnsi="Arial" w:cs="Arial"/>
          <w:sz w:val="21"/>
          <w:szCs w:val="21"/>
        </w:rPr>
      </w:pPr>
    </w:p>
    <w:p w14:paraId="08C8FD24" w14:textId="77777777" w:rsidR="0058121B" w:rsidRDefault="0058121B" w:rsidP="0058121B">
      <w:pPr>
        <w:spacing w:before="80" w:after="80"/>
        <w:rPr>
          <w:rFonts w:ascii="Arial" w:hAnsi="Arial" w:cs="Arial"/>
          <w:sz w:val="21"/>
          <w:szCs w:val="21"/>
        </w:rPr>
      </w:pPr>
    </w:p>
    <w:p w14:paraId="2AF9607A" w14:textId="77777777" w:rsidR="0058121B" w:rsidRDefault="0058121B" w:rsidP="0058121B">
      <w:pPr>
        <w:spacing w:before="80" w:after="80"/>
        <w:rPr>
          <w:rFonts w:ascii="Arial" w:hAnsi="Arial" w:cs="Arial"/>
          <w:sz w:val="21"/>
          <w:szCs w:val="21"/>
        </w:rPr>
      </w:pPr>
    </w:p>
    <w:p w14:paraId="1FAE460B" w14:textId="376B91FD" w:rsidR="0058121B" w:rsidRDefault="0058121B" w:rsidP="0058121B">
      <w:pPr>
        <w:rPr>
          <w:rFonts w:ascii="Arial" w:eastAsia="Arial" w:hAnsi="Arial" w:cs="Arial"/>
          <w:b/>
          <w:bCs/>
          <w:color w:val="5B2D8E"/>
          <w:sz w:val="28"/>
          <w:szCs w:val="28"/>
        </w:rPr>
      </w:pPr>
      <w:r>
        <w:rPr>
          <w:rFonts w:ascii="Arial" w:eastAsia="Arial" w:hAnsi="Arial" w:cs="Arial"/>
          <w:b/>
          <w:bCs/>
          <w:color w:val="5B2D8E"/>
          <w:sz w:val="28"/>
          <w:szCs w:val="28"/>
        </w:rPr>
        <w:lastRenderedPageBreak/>
        <w:t xml:space="preserve">Output </w:t>
      </w:r>
    </w:p>
    <w:p w14:paraId="13CE500F" w14:textId="77777777" w:rsidR="0058121B" w:rsidRPr="0058121B" w:rsidRDefault="0058121B" w:rsidP="0058121B">
      <w:pPr>
        <w:rPr>
          <w:rFonts w:ascii="Arial" w:eastAsia="Arial" w:hAnsi="Arial" w:cs="Arial"/>
          <w:b/>
          <w:bCs/>
          <w:color w:val="5B2D8E"/>
          <w:sz w:val="28"/>
          <w:szCs w:val="28"/>
        </w:rPr>
      </w:pPr>
    </w:p>
    <w:p w14:paraId="1068CDDD" w14:textId="77777777" w:rsidR="0058121B" w:rsidRPr="0058121B" w:rsidRDefault="0058121B" w:rsidP="0058121B">
      <w:pPr>
        <w:spacing w:before="80" w:after="80"/>
        <w:rPr>
          <w:rFonts w:ascii="Arial" w:hAnsi="Arial" w:cs="Arial"/>
          <w:sz w:val="21"/>
          <w:szCs w:val="21"/>
        </w:rPr>
      </w:pPr>
    </w:p>
    <w:p w14:paraId="61D2C5AD" w14:textId="447CE4FC" w:rsidR="0058121B" w:rsidRPr="0058121B" w:rsidRDefault="0058121B" w:rsidP="0058121B">
      <w:pPr>
        <w:spacing w:before="80"/>
        <w:rPr>
          <w:rFonts w:ascii="Arial" w:hAnsi="Arial" w:cs="Arial"/>
          <w:sz w:val="21"/>
          <w:szCs w:val="21"/>
        </w:rPr>
      </w:pPr>
    </w:p>
    <w:tbl>
      <w:tblPr>
        <w:tblpPr w:leftFromText="180" w:rightFromText="180" w:horzAnchor="margin" w:tblpXSpec="center" w:tblpY="401"/>
        <w:tblW w:w="8947" w:type="dxa"/>
        <w:shd w:val="clear" w:color="auto" w:fill="FFFFFF"/>
        <w:tblCellMar>
          <w:left w:w="0" w:type="dxa"/>
          <w:right w:w="0" w:type="dxa"/>
        </w:tblCellMar>
        <w:tblLook w:val="04A0" w:firstRow="1" w:lastRow="0" w:firstColumn="1" w:lastColumn="0" w:noHBand="0" w:noVBand="1"/>
      </w:tblPr>
      <w:tblGrid>
        <w:gridCol w:w="1542"/>
        <w:gridCol w:w="2994"/>
        <w:gridCol w:w="4411"/>
      </w:tblGrid>
      <w:tr w:rsidR="0058121B" w:rsidRPr="0058121B" w14:paraId="2A6FEEDF" w14:textId="77777777" w:rsidTr="00F77D36">
        <w:trPr>
          <w:trHeight w:val="257"/>
          <w:tblHeader/>
        </w:trPr>
        <w:tc>
          <w:tcPr>
            <w:tcW w:w="8947" w:type="dxa"/>
            <w:gridSpan w:val="3"/>
            <w:shd w:val="clear" w:color="auto" w:fill="FFFFFF"/>
            <w:tcMar>
              <w:top w:w="180" w:type="dxa"/>
              <w:left w:w="240" w:type="dxa"/>
              <w:bottom w:w="180" w:type="dxa"/>
              <w:right w:w="240" w:type="dxa"/>
            </w:tcMar>
            <w:vAlign w:val="center"/>
          </w:tcPr>
          <w:p w14:paraId="1534ECDF" w14:textId="634C282C" w:rsidR="0058121B" w:rsidRPr="0058121B" w:rsidRDefault="0058121B" w:rsidP="0058121B">
            <w:pPr>
              <w:spacing w:before="80"/>
              <w:rPr>
                <w:rFonts w:ascii="Arial" w:hAnsi="Arial" w:cs="Arial"/>
                <w:b/>
                <w:bCs/>
                <w:sz w:val="21"/>
                <w:szCs w:val="21"/>
              </w:rPr>
            </w:pPr>
            <w:r w:rsidRPr="0058121B">
              <w:rPr>
                <w:rFonts w:ascii="Arial" w:hAnsi="Arial" w:cs="Arial"/>
                <w:sz w:val="21"/>
                <w:szCs w:val="21"/>
              </w:rPr>
              <w:t>The audit produces a structured maturity profile across both tracks. Each of the eleven domains is scored at one of four stages.</w:t>
            </w:r>
          </w:p>
        </w:tc>
      </w:tr>
      <w:tr w:rsidR="0058121B" w:rsidRPr="0058121B" w14:paraId="651FF787" w14:textId="77777777" w:rsidTr="0058121B">
        <w:trPr>
          <w:trHeight w:val="257"/>
          <w:tblHeader/>
        </w:trPr>
        <w:tc>
          <w:tcPr>
            <w:tcW w:w="0" w:type="auto"/>
            <w:shd w:val="clear" w:color="auto" w:fill="FFFFFF"/>
            <w:tcMar>
              <w:top w:w="180" w:type="dxa"/>
              <w:left w:w="240" w:type="dxa"/>
              <w:bottom w:w="180" w:type="dxa"/>
              <w:right w:w="240" w:type="dxa"/>
            </w:tcMar>
            <w:vAlign w:val="center"/>
            <w:hideMark/>
          </w:tcPr>
          <w:p w14:paraId="6DF67176"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Stage</w:t>
            </w:r>
          </w:p>
        </w:tc>
        <w:tc>
          <w:tcPr>
            <w:tcW w:w="2994" w:type="dxa"/>
            <w:shd w:val="clear" w:color="auto" w:fill="FFFFFF"/>
            <w:tcMar>
              <w:top w:w="180" w:type="dxa"/>
              <w:left w:w="240" w:type="dxa"/>
              <w:bottom w:w="180" w:type="dxa"/>
              <w:right w:w="240" w:type="dxa"/>
            </w:tcMar>
            <w:vAlign w:val="center"/>
            <w:hideMark/>
          </w:tcPr>
          <w:p w14:paraId="226BA020"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What it means</w:t>
            </w:r>
          </w:p>
        </w:tc>
        <w:tc>
          <w:tcPr>
            <w:tcW w:w="4411" w:type="dxa"/>
            <w:shd w:val="clear" w:color="auto" w:fill="FFFFFF"/>
            <w:tcMar>
              <w:top w:w="180" w:type="dxa"/>
              <w:left w:w="240" w:type="dxa"/>
              <w:bottom w:w="180" w:type="dxa"/>
              <w:right w:w="240" w:type="dxa"/>
            </w:tcMar>
            <w:vAlign w:val="center"/>
            <w:hideMark/>
          </w:tcPr>
          <w:p w14:paraId="15EAA09A"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Typical signal</w:t>
            </w:r>
          </w:p>
        </w:tc>
      </w:tr>
      <w:tr w:rsidR="0058121B" w:rsidRPr="0058121B" w14:paraId="5A119234" w14:textId="77777777" w:rsidTr="0058121B">
        <w:trPr>
          <w:trHeight w:val="655"/>
        </w:trPr>
        <w:tc>
          <w:tcPr>
            <w:tcW w:w="1542" w:type="dxa"/>
            <w:tcBorders>
              <w:bottom w:val="single" w:sz="6" w:space="0" w:color="EEEEEE"/>
            </w:tcBorders>
            <w:shd w:val="clear" w:color="auto" w:fill="FFFFFF"/>
            <w:noWrap/>
            <w:tcMar>
              <w:top w:w="180" w:type="dxa"/>
              <w:left w:w="240" w:type="dxa"/>
              <w:bottom w:w="180" w:type="dxa"/>
              <w:right w:w="240" w:type="dxa"/>
            </w:tcMar>
            <w:hideMark/>
          </w:tcPr>
          <w:p w14:paraId="1667F01B"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Ad Hoc</w:t>
            </w:r>
          </w:p>
        </w:tc>
        <w:tc>
          <w:tcPr>
            <w:tcW w:w="2994" w:type="dxa"/>
            <w:tcBorders>
              <w:bottom w:val="single" w:sz="6" w:space="0" w:color="EEEEEE"/>
            </w:tcBorders>
            <w:shd w:val="clear" w:color="auto" w:fill="FFFFFF"/>
            <w:tcMar>
              <w:top w:w="180" w:type="dxa"/>
              <w:left w:w="240" w:type="dxa"/>
              <w:bottom w:w="180" w:type="dxa"/>
              <w:right w:w="240" w:type="dxa"/>
            </w:tcMar>
            <w:hideMark/>
          </w:tcPr>
          <w:p w14:paraId="2C72EB2A"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No governance structure in place. AI adopted without oversight.</w:t>
            </w:r>
          </w:p>
        </w:tc>
        <w:tc>
          <w:tcPr>
            <w:tcW w:w="4411" w:type="dxa"/>
            <w:tcBorders>
              <w:bottom w:val="single" w:sz="6" w:space="0" w:color="EEEEEE"/>
            </w:tcBorders>
            <w:shd w:val="clear" w:color="auto" w:fill="FFFFFF"/>
            <w:tcMar>
              <w:top w:w="180" w:type="dxa"/>
              <w:left w:w="240" w:type="dxa"/>
              <w:bottom w:w="180" w:type="dxa"/>
              <w:right w:w="240" w:type="dxa"/>
            </w:tcMar>
            <w:hideMark/>
          </w:tcPr>
          <w:p w14:paraId="4FB47C4E"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Cannot name who is accountable for AI. No policy. No inventory.</w:t>
            </w:r>
          </w:p>
        </w:tc>
      </w:tr>
      <w:tr w:rsidR="0058121B" w:rsidRPr="0058121B" w14:paraId="70EF6DE0" w14:textId="77777777" w:rsidTr="0058121B">
        <w:trPr>
          <w:trHeight w:val="655"/>
        </w:trPr>
        <w:tc>
          <w:tcPr>
            <w:tcW w:w="1542" w:type="dxa"/>
            <w:tcBorders>
              <w:bottom w:val="single" w:sz="6" w:space="0" w:color="EEEEEE"/>
            </w:tcBorders>
            <w:shd w:val="clear" w:color="auto" w:fill="FFFFFF"/>
            <w:noWrap/>
            <w:tcMar>
              <w:top w:w="180" w:type="dxa"/>
              <w:left w:w="240" w:type="dxa"/>
              <w:bottom w:w="180" w:type="dxa"/>
              <w:right w:w="240" w:type="dxa"/>
            </w:tcMar>
            <w:hideMark/>
          </w:tcPr>
          <w:p w14:paraId="6F22B4DF"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Emerging</w:t>
            </w:r>
          </w:p>
        </w:tc>
        <w:tc>
          <w:tcPr>
            <w:tcW w:w="2994" w:type="dxa"/>
            <w:tcBorders>
              <w:bottom w:val="single" w:sz="6" w:space="0" w:color="EEEEEE"/>
            </w:tcBorders>
            <w:shd w:val="clear" w:color="auto" w:fill="FFFFFF"/>
            <w:tcMar>
              <w:top w:w="180" w:type="dxa"/>
              <w:left w:w="240" w:type="dxa"/>
              <w:bottom w:w="180" w:type="dxa"/>
              <w:right w:w="240" w:type="dxa"/>
            </w:tcMar>
            <w:hideMark/>
          </w:tcPr>
          <w:p w14:paraId="2181C301"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Awareness is present but governance is informal or inconsistent.</w:t>
            </w:r>
          </w:p>
        </w:tc>
        <w:tc>
          <w:tcPr>
            <w:tcW w:w="4411" w:type="dxa"/>
            <w:tcBorders>
              <w:bottom w:val="single" w:sz="6" w:space="0" w:color="EEEEEE"/>
            </w:tcBorders>
            <w:shd w:val="clear" w:color="auto" w:fill="FFFFFF"/>
            <w:tcMar>
              <w:top w:w="180" w:type="dxa"/>
              <w:left w:w="240" w:type="dxa"/>
              <w:bottom w:w="180" w:type="dxa"/>
              <w:right w:w="240" w:type="dxa"/>
            </w:tcMar>
            <w:hideMark/>
          </w:tcPr>
          <w:p w14:paraId="0A22B7BC"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Some policy discussion. Governance depends on individuals, not structure.</w:t>
            </w:r>
          </w:p>
        </w:tc>
      </w:tr>
      <w:tr w:rsidR="0058121B" w:rsidRPr="0058121B" w14:paraId="75800554" w14:textId="77777777" w:rsidTr="0058121B">
        <w:trPr>
          <w:trHeight w:val="644"/>
        </w:trPr>
        <w:tc>
          <w:tcPr>
            <w:tcW w:w="1542" w:type="dxa"/>
            <w:tcBorders>
              <w:bottom w:val="single" w:sz="6" w:space="0" w:color="EEEEEE"/>
            </w:tcBorders>
            <w:shd w:val="clear" w:color="auto" w:fill="FFFFFF"/>
            <w:noWrap/>
            <w:tcMar>
              <w:top w:w="180" w:type="dxa"/>
              <w:left w:w="240" w:type="dxa"/>
              <w:bottom w:w="180" w:type="dxa"/>
              <w:right w:w="240" w:type="dxa"/>
            </w:tcMar>
            <w:hideMark/>
          </w:tcPr>
          <w:p w14:paraId="2C572EA0"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Structured</w:t>
            </w:r>
          </w:p>
        </w:tc>
        <w:tc>
          <w:tcPr>
            <w:tcW w:w="2994" w:type="dxa"/>
            <w:tcBorders>
              <w:bottom w:val="single" w:sz="6" w:space="0" w:color="EEEEEE"/>
            </w:tcBorders>
            <w:shd w:val="clear" w:color="auto" w:fill="FFFFFF"/>
            <w:tcMar>
              <w:top w:w="180" w:type="dxa"/>
              <w:left w:w="240" w:type="dxa"/>
              <w:bottom w:w="180" w:type="dxa"/>
              <w:right w:w="240" w:type="dxa"/>
            </w:tcMar>
            <w:hideMark/>
          </w:tcPr>
          <w:p w14:paraId="27A47A88"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Formal governance in place, consistently applied.</w:t>
            </w:r>
          </w:p>
        </w:tc>
        <w:tc>
          <w:tcPr>
            <w:tcW w:w="4411" w:type="dxa"/>
            <w:tcBorders>
              <w:bottom w:val="single" w:sz="6" w:space="0" w:color="EEEEEE"/>
            </w:tcBorders>
            <w:shd w:val="clear" w:color="auto" w:fill="FFFFFF"/>
            <w:tcMar>
              <w:top w:w="180" w:type="dxa"/>
              <w:left w:w="240" w:type="dxa"/>
              <w:bottom w:w="180" w:type="dxa"/>
              <w:right w:w="240" w:type="dxa"/>
            </w:tcMar>
            <w:hideMark/>
          </w:tcPr>
          <w:p w14:paraId="6BFD750B"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Written policy, named ownership, regular board reporting on AI.</w:t>
            </w:r>
          </w:p>
        </w:tc>
      </w:tr>
      <w:tr w:rsidR="0058121B" w:rsidRPr="0058121B" w14:paraId="23304BA5" w14:textId="77777777" w:rsidTr="0058121B">
        <w:trPr>
          <w:trHeight w:val="655"/>
        </w:trPr>
        <w:tc>
          <w:tcPr>
            <w:tcW w:w="1542" w:type="dxa"/>
            <w:tcBorders>
              <w:bottom w:val="single" w:sz="6" w:space="0" w:color="EEEEEE"/>
            </w:tcBorders>
            <w:shd w:val="clear" w:color="auto" w:fill="FFFFFF"/>
            <w:noWrap/>
            <w:tcMar>
              <w:top w:w="180" w:type="dxa"/>
              <w:left w:w="240" w:type="dxa"/>
              <w:bottom w:w="180" w:type="dxa"/>
              <w:right w:w="240" w:type="dxa"/>
            </w:tcMar>
            <w:hideMark/>
          </w:tcPr>
          <w:p w14:paraId="4B595BBB" w14:textId="77777777" w:rsidR="0058121B" w:rsidRPr="0058121B" w:rsidRDefault="0058121B" w:rsidP="0058121B">
            <w:pPr>
              <w:spacing w:before="80"/>
              <w:rPr>
                <w:rFonts w:ascii="Arial" w:hAnsi="Arial" w:cs="Arial"/>
                <w:b/>
                <w:bCs/>
                <w:sz w:val="21"/>
                <w:szCs w:val="21"/>
              </w:rPr>
            </w:pPr>
            <w:r w:rsidRPr="0058121B">
              <w:rPr>
                <w:rFonts w:ascii="Arial" w:hAnsi="Arial" w:cs="Arial"/>
                <w:b/>
                <w:bCs/>
                <w:sz w:val="21"/>
                <w:szCs w:val="21"/>
              </w:rPr>
              <w:t>Integrated</w:t>
            </w:r>
          </w:p>
        </w:tc>
        <w:tc>
          <w:tcPr>
            <w:tcW w:w="2994" w:type="dxa"/>
            <w:tcBorders>
              <w:bottom w:val="single" w:sz="6" w:space="0" w:color="EEEEEE"/>
            </w:tcBorders>
            <w:shd w:val="clear" w:color="auto" w:fill="FFFFFF"/>
            <w:tcMar>
              <w:top w:w="180" w:type="dxa"/>
              <w:left w:w="240" w:type="dxa"/>
              <w:bottom w:w="180" w:type="dxa"/>
              <w:right w:w="240" w:type="dxa"/>
            </w:tcMar>
            <w:hideMark/>
          </w:tcPr>
          <w:p w14:paraId="3E20E448"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Governance is embedded in strategy, decisions, and culture.</w:t>
            </w:r>
          </w:p>
        </w:tc>
        <w:tc>
          <w:tcPr>
            <w:tcW w:w="4411" w:type="dxa"/>
            <w:tcBorders>
              <w:bottom w:val="single" w:sz="6" w:space="0" w:color="EEEEEE"/>
            </w:tcBorders>
            <w:shd w:val="clear" w:color="auto" w:fill="FFFFFF"/>
            <w:tcMar>
              <w:top w:w="180" w:type="dxa"/>
              <w:left w:w="240" w:type="dxa"/>
              <w:bottom w:w="180" w:type="dxa"/>
              <w:right w:w="240" w:type="dxa"/>
            </w:tcMar>
            <w:hideMark/>
          </w:tcPr>
          <w:p w14:paraId="0EE285B6"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AI is a standing agenda item. Risk appetite defined. Culture actively supports governed adoption.</w:t>
            </w:r>
          </w:p>
        </w:tc>
      </w:tr>
    </w:tbl>
    <w:p w14:paraId="0ED2B915"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 xml:space="preserve">Most Irish SME boards are currently operating between Ad Hoc and Emerging. The audit helps you identify where you </w:t>
      </w:r>
      <w:proofErr w:type="gramStart"/>
      <w:r w:rsidRPr="0058121B">
        <w:rPr>
          <w:rFonts w:ascii="Arial" w:hAnsi="Arial" w:cs="Arial"/>
          <w:sz w:val="21"/>
          <w:szCs w:val="21"/>
        </w:rPr>
        <w:t>actually sit</w:t>
      </w:r>
      <w:proofErr w:type="gramEnd"/>
      <w:r w:rsidRPr="0058121B">
        <w:rPr>
          <w:rFonts w:ascii="Arial" w:hAnsi="Arial" w:cs="Arial"/>
          <w:sz w:val="21"/>
          <w:szCs w:val="21"/>
        </w:rPr>
        <w:t xml:space="preserve"> — not where you believe you sit.</w:t>
      </w:r>
    </w:p>
    <w:p w14:paraId="1E3CF365" w14:textId="77777777" w:rsidR="0058121B" w:rsidRDefault="0058121B" w:rsidP="0058121B">
      <w:pPr>
        <w:spacing w:before="80"/>
        <w:rPr>
          <w:rFonts w:ascii="Arial" w:hAnsi="Arial" w:cs="Arial"/>
          <w:b/>
          <w:bCs/>
          <w:sz w:val="21"/>
          <w:szCs w:val="21"/>
        </w:rPr>
      </w:pPr>
    </w:p>
    <w:p w14:paraId="451320B0" w14:textId="34CC5746" w:rsidR="0058121B" w:rsidRPr="0058121B" w:rsidRDefault="0058121B" w:rsidP="0058121B">
      <w:pPr>
        <w:spacing w:before="80"/>
        <w:rPr>
          <w:rFonts w:ascii="Arial" w:hAnsi="Arial" w:cs="Arial"/>
          <w:sz w:val="21"/>
          <w:szCs w:val="21"/>
        </w:rPr>
      </w:pPr>
      <w:r w:rsidRPr="0058121B">
        <w:rPr>
          <w:rFonts w:ascii="Arial" w:hAnsi="Arial" w:cs="Arial"/>
          <w:b/>
          <w:bCs/>
          <w:sz w:val="21"/>
          <w:szCs w:val="21"/>
        </w:rPr>
        <w:t>Reporting statement</w:t>
      </w:r>
    </w:p>
    <w:p w14:paraId="09D9D369" w14:textId="77777777" w:rsidR="0058121B" w:rsidRDefault="0058121B" w:rsidP="0058121B">
      <w:pPr>
        <w:spacing w:before="80"/>
        <w:rPr>
          <w:rFonts w:ascii="Arial" w:hAnsi="Arial" w:cs="Arial"/>
          <w:sz w:val="21"/>
          <w:szCs w:val="21"/>
        </w:rPr>
      </w:pPr>
      <w:r w:rsidRPr="0058121B">
        <w:rPr>
          <w:rFonts w:ascii="Arial" w:hAnsi="Arial" w:cs="Arial"/>
          <w:sz w:val="21"/>
          <w:szCs w:val="21"/>
        </w:rPr>
        <w:t>"Capability &amp; Readiness Audit completed [date]. Director capability: [stage]. Organisational readiness: [stage]. Priority gaps: [top 2–3 domains]. Next review: [date]."</w:t>
      </w:r>
    </w:p>
    <w:p w14:paraId="26FB91FE" w14:textId="77777777" w:rsidR="0058121B" w:rsidRDefault="0058121B" w:rsidP="0058121B">
      <w:pPr>
        <w:spacing w:before="80"/>
        <w:rPr>
          <w:rFonts w:ascii="Arial" w:hAnsi="Arial" w:cs="Arial"/>
          <w:sz w:val="21"/>
          <w:szCs w:val="21"/>
        </w:rPr>
      </w:pPr>
    </w:p>
    <w:p w14:paraId="0D9121C1" w14:textId="77777777" w:rsidR="0058121B" w:rsidRPr="0058121B" w:rsidRDefault="0058121B" w:rsidP="0058121B">
      <w:pPr>
        <w:spacing w:before="80"/>
        <w:rPr>
          <w:rFonts w:ascii="Arial" w:hAnsi="Arial" w:cs="Arial"/>
          <w:sz w:val="21"/>
          <w:szCs w:val="21"/>
        </w:rPr>
      </w:pPr>
      <w:r w:rsidRPr="0058121B">
        <w:rPr>
          <w:rFonts w:ascii="Arial" w:hAnsi="Arial" w:cs="Arial"/>
          <w:sz w:val="21"/>
          <w:szCs w:val="21"/>
        </w:rPr>
        <w:t>Track progress across both leading and lagging measures. The goal is not a high score — it is honest diagnosis followed by targeted improvement.</w:t>
      </w:r>
    </w:p>
    <w:p w14:paraId="0B96D67C" w14:textId="77777777" w:rsidR="0058121B" w:rsidRPr="0058121B" w:rsidRDefault="0058121B" w:rsidP="0058121B">
      <w:pPr>
        <w:spacing w:before="80"/>
        <w:rPr>
          <w:rFonts w:ascii="Arial" w:hAnsi="Arial" w:cs="Arial"/>
          <w:sz w:val="21"/>
          <w:szCs w:val="21"/>
        </w:rPr>
      </w:pPr>
    </w:p>
    <w:p w14:paraId="63A32FF9" w14:textId="77777777" w:rsidR="00C90FEF" w:rsidRDefault="00C90FEF">
      <w:pPr>
        <w:spacing w:before="240"/>
      </w:pPr>
    </w:p>
    <w:p w14:paraId="2330159A" w14:textId="77777777" w:rsidR="00613A73" w:rsidRDefault="00613A73">
      <w:pPr>
        <w:spacing w:before="240"/>
      </w:pPr>
    </w:p>
    <w:p w14:paraId="2004C51E" w14:textId="77777777" w:rsidR="00C90FEF" w:rsidRDefault="00C90FEF">
      <w:pPr>
        <w:spacing w:before="160"/>
      </w:pPr>
    </w:p>
    <w:p w14:paraId="03A9CCFC" w14:textId="77777777" w:rsidR="00C90FEF" w:rsidRDefault="00C90FEF">
      <w:pPr>
        <w:spacing w:before="240"/>
      </w:pPr>
    </w:p>
    <w:p w14:paraId="79513515" w14:textId="77777777" w:rsidR="00710712" w:rsidRDefault="00710712">
      <w:pPr>
        <w:spacing w:before="240"/>
      </w:pPr>
    </w:p>
    <w:p w14:paraId="16A23D29" w14:textId="77777777" w:rsidR="00710712" w:rsidRDefault="00710712">
      <w:pPr>
        <w:spacing w:before="240"/>
      </w:pPr>
    </w:p>
    <w:p w14:paraId="4FB2E58D" w14:textId="77777777" w:rsidR="00710712" w:rsidRDefault="00710712">
      <w:pPr>
        <w:spacing w:before="240"/>
      </w:pPr>
    </w:p>
    <w:p w14:paraId="01A0A577" w14:textId="49C1D5BC" w:rsidR="00710712" w:rsidRPr="0058121B" w:rsidRDefault="0058121B" w:rsidP="0058121B">
      <w:pPr>
        <w:rPr>
          <w:rFonts w:ascii="Arial" w:eastAsia="Arial" w:hAnsi="Arial" w:cs="Arial"/>
          <w:b/>
          <w:bCs/>
          <w:color w:val="5B2D8E"/>
          <w:sz w:val="28"/>
          <w:szCs w:val="28"/>
        </w:rPr>
      </w:pPr>
      <w:r w:rsidRPr="0058121B">
        <w:rPr>
          <w:rFonts w:ascii="Arial" w:eastAsia="Arial" w:hAnsi="Arial" w:cs="Arial"/>
          <w:b/>
          <w:bCs/>
          <w:color w:val="5B2D8E"/>
          <w:sz w:val="28"/>
          <w:szCs w:val="28"/>
        </w:rPr>
        <w:lastRenderedPageBreak/>
        <w:t>How to measure success</w:t>
      </w:r>
    </w:p>
    <w:p w14:paraId="03583FDB"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Track progress across both leading and lagging measures. The goal is not a high score — it is honest diagnosis followed by targeted improvement.</w:t>
      </w:r>
    </w:p>
    <w:tbl>
      <w:tblPr>
        <w:tblW w:w="9567" w:type="dxa"/>
        <w:shd w:val="clear" w:color="auto" w:fill="FFFFFF"/>
        <w:tblCellMar>
          <w:left w:w="0" w:type="dxa"/>
          <w:right w:w="0" w:type="dxa"/>
        </w:tblCellMar>
        <w:tblLook w:val="04A0" w:firstRow="1" w:lastRow="0" w:firstColumn="1" w:lastColumn="0" w:noHBand="0" w:noVBand="1"/>
      </w:tblPr>
      <w:tblGrid>
        <w:gridCol w:w="1519"/>
        <w:gridCol w:w="4215"/>
        <w:gridCol w:w="3833"/>
      </w:tblGrid>
      <w:tr w:rsidR="0058121B" w:rsidRPr="0058121B" w14:paraId="6E0590E6" w14:textId="77777777" w:rsidTr="0058121B">
        <w:trPr>
          <w:trHeight w:val="505"/>
          <w:tblHeader/>
        </w:trPr>
        <w:tc>
          <w:tcPr>
            <w:tcW w:w="0" w:type="auto"/>
            <w:shd w:val="clear" w:color="auto" w:fill="FFFFFF"/>
            <w:tcMar>
              <w:top w:w="180" w:type="dxa"/>
              <w:left w:w="240" w:type="dxa"/>
              <w:bottom w:w="180" w:type="dxa"/>
              <w:right w:w="240" w:type="dxa"/>
            </w:tcMar>
            <w:vAlign w:val="center"/>
            <w:hideMark/>
          </w:tcPr>
          <w:p w14:paraId="6B966410"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Indicator</w:t>
            </w:r>
          </w:p>
        </w:tc>
        <w:tc>
          <w:tcPr>
            <w:tcW w:w="0" w:type="auto"/>
            <w:shd w:val="clear" w:color="auto" w:fill="FFFFFF"/>
            <w:tcMar>
              <w:top w:w="180" w:type="dxa"/>
              <w:left w:w="240" w:type="dxa"/>
              <w:bottom w:w="180" w:type="dxa"/>
              <w:right w:w="240" w:type="dxa"/>
            </w:tcMar>
            <w:vAlign w:val="center"/>
            <w:hideMark/>
          </w:tcPr>
          <w:p w14:paraId="038999CD"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What to track</w:t>
            </w:r>
          </w:p>
        </w:tc>
        <w:tc>
          <w:tcPr>
            <w:tcW w:w="0" w:type="auto"/>
            <w:shd w:val="clear" w:color="auto" w:fill="FFFFFF"/>
            <w:tcMar>
              <w:top w:w="180" w:type="dxa"/>
              <w:left w:w="240" w:type="dxa"/>
              <w:bottom w:w="180" w:type="dxa"/>
              <w:right w:w="240" w:type="dxa"/>
            </w:tcMar>
            <w:vAlign w:val="center"/>
            <w:hideMark/>
          </w:tcPr>
          <w:p w14:paraId="50DDF4CF"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Target / signal</w:t>
            </w:r>
          </w:p>
        </w:tc>
      </w:tr>
      <w:tr w:rsidR="0058121B" w:rsidRPr="0058121B" w14:paraId="394F5D2B" w14:textId="77777777" w:rsidTr="0058121B">
        <w:trPr>
          <w:trHeight w:val="741"/>
        </w:trPr>
        <w:tc>
          <w:tcPr>
            <w:tcW w:w="1516" w:type="dxa"/>
            <w:tcBorders>
              <w:bottom w:val="single" w:sz="6" w:space="0" w:color="EEEEEE"/>
            </w:tcBorders>
            <w:shd w:val="clear" w:color="auto" w:fill="FFFFFF"/>
            <w:noWrap/>
            <w:tcMar>
              <w:top w:w="210" w:type="dxa"/>
              <w:left w:w="240" w:type="dxa"/>
              <w:bottom w:w="210" w:type="dxa"/>
              <w:right w:w="240" w:type="dxa"/>
            </w:tcMar>
            <w:hideMark/>
          </w:tcPr>
          <w:p w14:paraId="6694B061"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Leading (30 days)</w:t>
            </w:r>
          </w:p>
        </w:tc>
        <w:tc>
          <w:tcPr>
            <w:tcW w:w="0" w:type="auto"/>
            <w:tcBorders>
              <w:bottom w:val="single" w:sz="6" w:space="0" w:color="EEEEEE"/>
            </w:tcBorders>
            <w:shd w:val="clear" w:color="auto" w:fill="FFFFFF"/>
            <w:tcMar>
              <w:top w:w="210" w:type="dxa"/>
              <w:left w:w="240" w:type="dxa"/>
              <w:bottom w:w="210" w:type="dxa"/>
              <w:right w:w="240" w:type="dxa"/>
            </w:tcMar>
            <w:hideMark/>
          </w:tcPr>
          <w:p w14:paraId="713F5792"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Audit completed by leadership team; all eleven domains scored; priority gaps identified and agreed</w:t>
            </w:r>
          </w:p>
        </w:tc>
        <w:tc>
          <w:tcPr>
            <w:tcW w:w="0" w:type="auto"/>
            <w:tcBorders>
              <w:bottom w:val="single" w:sz="6" w:space="0" w:color="EEEEEE"/>
            </w:tcBorders>
            <w:shd w:val="clear" w:color="auto" w:fill="FFFFFF"/>
            <w:tcMar>
              <w:top w:w="210" w:type="dxa"/>
              <w:left w:w="240" w:type="dxa"/>
              <w:bottom w:w="210" w:type="dxa"/>
              <w:right w:w="240" w:type="dxa"/>
            </w:tcMar>
            <w:hideMark/>
          </w:tcPr>
          <w:p w14:paraId="260F702E"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Assessment completed in a facilitated session, not individually. All domains have a score.</w:t>
            </w:r>
          </w:p>
        </w:tc>
      </w:tr>
      <w:tr w:rsidR="0058121B" w:rsidRPr="0058121B" w14:paraId="2E051D35" w14:textId="77777777" w:rsidTr="0058121B">
        <w:trPr>
          <w:trHeight w:val="741"/>
        </w:trPr>
        <w:tc>
          <w:tcPr>
            <w:tcW w:w="1516" w:type="dxa"/>
            <w:tcBorders>
              <w:bottom w:val="single" w:sz="6" w:space="0" w:color="EEEEEE"/>
            </w:tcBorders>
            <w:shd w:val="clear" w:color="auto" w:fill="FFFFFF"/>
            <w:noWrap/>
            <w:tcMar>
              <w:top w:w="210" w:type="dxa"/>
              <w:left w:w="240" w:type="dxa"/>
              <w:bottom w:w="210" w:type="dxa"/>
              <w:right w:w="240" w:type="dxa"/>
            </w:tcMar>
            <w:hideMark/>
          </w:tcPr>
          <w:p w14:paraId="34B606E6"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Lagging (quarterly)</w:t>
            </w:r>
          </w:p>
        </w:tc>
        <w:tc>
          <w:tcPr>
            <w:tcW w:w="0" w:type="auto"/>
            <w:tcBorders>
              <w:bottom w:val="single" w:sz="6" w:space="0" w:color="EEEEEE"/>
            </w:tcBorders>
            <w:shd w:val="clear" w:color="auto" w:fill="FFFFFF"/>
            <w:tcMar>
              <w:top w:w="210" w:type="dxa"/>
              <w:left w:w="240" w:type="dxa"/>
              <w:bottom w:w="210" w:type="dxa"/>
              <w:right w:w="240" w:type="dxa"/>
            </w:tcMar>
            <w:hideMark/>
          </w:tcPr>
          <w:p w14:paraId="46337BF2"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Maturity stage progression per domain; priority gap actions completed; regulatory compliance steps taken</w:t>
            </w:r>
          </w:p>
        </w:tc>
        <w:tc>
          <w:tcPr>
            <w:tcW w:w="0" w:type="auto"/>
            <w:tcBorders>
              <w:bottom w:val="single" w:sz="6" w:space="0" w:color="EEEEEE"/>
            </w:tcBorders>
            <w:shd w:val="clear" w:color="auto" w:fill="FFFFFF"/>
            <w:tcMar>
              <w:top w:w="210" w:type="dxa"/>
              <w:left w:w="240" w:type="dxa"/>
              <w:bottom w:w="210" w:type="dxa"/>
              <w:right w:w="240" w:type="dxa"/>
            </w:tcMar>
            <w:hideMark/>
          </w:tcPr>
          <w:p w14:paraId="4026DD50"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At least one domain moved from Ad Hoc to Emerging; named owners on all priority actions</w:t>
            </w:r>
          </w:p>
        </w:tc>
      </w:tr>
      <w:tr w:rsidR="0058121B" w:rsidRPr="0058121B" w14:paraId="65DD0BCF" w14:textId="77777777" w:rsidTr="0058121B">
        <w:trPr>
          <w:trHeight w:val="741"/>
        </w:trPr>
        <w:tc>
          <w:tcPr>
            <w:tcW w:w="1516" w:type="dxa"/>
            <w:tcBorders>
              <w:bottom w:val="single" w:sz="6" w:space="0" w:color="EEEEEE"/>
            </w:tcBorders>
            <w:shd w:val="clear" w:color="auto" w:fill="FFFFFF"/>
            <w:noWrap/>
            <w:tcMar>
              <w:top w:w="210" w:type="dxa"/>
              <w:left w:w="240" w:type="dxa"/>
              <w:bottom w:w="210" w:type="dxa"/>
              <w:right w:w="240" w:type="dxa"/>
            </w:tcMar>
            <w:hideMark/>
          </w:tcPr>
          <w:p w14:paraId="153E3740" w14:textId="77777777" w:rsidR="0058121B" w:rsidRPr="0058121B" w:rsidRDefault="0058121B" w:rsidP="0058121B">
            <w:pPr>
              <w:spacing w:before="240"/>
              <w:rPr>
                <w:rFonts w:ascii="Arial" w:hAnsi="Arial" w:cs="Arial"/>
                <w:b/>
                <w:bCs/>
                <w:sz w:val="21"/>
                <w:szCs w:val="21"/>
              </w:rPr>
            </w:pPr>
            <w:r w:rsidRPr="0058121B">
              <w:rPr>
                <w:rFonts w:ascii="Arial" w:hAnsi="Arial" w:cs="Arial"/>
                <w:b/>
                <w:bCs/>
                <w:sz w:val="21"/>
                <w:szCs w:val="21"/>
              </w:rPr>
              <w:t>Reporting metric</w:t>
            </w:r>
          </w:p>
        </w:tc>
        <w:tc>
          <w:tcPr>
            <w:tcW w:w="0" w:type="auto"/>
            <w:gridSpan w:val="2"/>
            <w:tcBorders>
              <w:bottom w:val="single" w:sz="6" w:space="0" w:color="EEEEEE"/>
            </w:tcBorders>
            <w:shd w:val="clear" w:color="auto" w:fill="FFFFFF"/>
            <w:tcMar>
              <w:top w:w="210" w:type="dxa"/>
              <w:left w:w="240" w:type="dxa"/>
              <w:bottom w:w="210" w:type="dxa"/>
              <w:right w:w="240" w:type="dxa"/>
            </w:tcMar>
            <w:hideMark/>
          </w:tcPr>
          <w:p w14:paraId="0EDA402F" w14:textId="77777777" w:rsidR="0058121B" w:rsidRPr="0058121B" w:rsidRDefault="0058121B" w:rsidP="0058121B">
            <w:pPr>
              <w:spacing w:before="240"/>
              <w:rPr>
                <w:rFonts w:ascii="Arial" w:hAnsi="Arial" w:cs="Arial"/>
                <w:sz w:val="21"/>
                <w:szCs w:val="21"/>
              </w:rPr>
            </w:pPr>
            <w:r w:rsidRPr="0058121B">
              <w:rPr>
                <w:rFonts w:ascii="Arial" w:hAnsi="Arial" w:cs="Arial"/>
                <w:sz w:val="21"/>
                <w:szCs w:val="21"/>
              </w:rPr>
              <w:t>"Capability &amp; Readiness Audit: Director capability at [stage]; Organisational readiness at [stage]; [N] priority actions with named owners; next review [date]."</w:t>
            </w:r>
          </w:p>
        </w:tc>
      </w:tr>
    </w:tbl>
    <w:p w14:paraId="674583FC" w14:textId="77777777" w:rsidR="00734FC2" w:rsidRDefault="00734FC2">
      <w:pPr>
        <w:spacing w:before="240"/>
        <w:rPr>
          <w:rFonts w:ascii="Arial" w:hAnsi="Arial" w:cs="Arial"/>
          <w:sz w:val="21"/>
          <w:szCs w:val="21"/>
        </w:rPr>
      </w:pPr>
    </w:p>
    <w:p w14:paraId="7AAA1752" w14:textId="3091DFDA" w:rsidR="0058121B" w:rsidRPr="00734FC2" w:rsidRDefault="00734FC2" w:rsidP="00734FC2">
      <w:pPr>
        <w:rPr>
          <w:rFonts w:ascii="Arial" w:eastAsia="Arial" w:hAnsi="Arial" w:cs="Arial"/>
          <w:b/>
          <w:bCs/>
          <w:color w:val="5B2D8E"/>
          <w:sz w:val="28"/>
          <w:szCs w:val="28"/>
        </w:rPr>
      </w:pPr>
      <w:r w:rsidRPr="00734FC2">
        <w:rPr>
          <w:rFonts w:ascii="Arial" w:eastAsia="Arial" w:hAnsi="Arial" w:cs="Arial"/>
          <w:b/>
          <w:bCs/>
          <w:color w:val="5B2D8E"/>
          <w:sz w:val="28"/>
          <w:szCs w:val="28"/>
        </w:rPr>
        <w:t>Making it Stick</w:t>
      </w:r>
    </w:p>
    <w:p w14:paraId="690675A8" w14:textId="77777777" w:rsidR="00734FC2" w:rsidRPr="00734FC2" w:rsidRDefault="00734FC2" w:rsidP="00734FC2">
      <w:pPr>
        <w:spacing w:before="240"/>
        <w:rPr>
          <w:rFonts w:ascii="Arial" w:hAnsi="Arial" w:cs="Arial"/>
          <w:sz w:val="21"/>
          <w:szCs w:val="21"/>
        </w:rPr>
      </w:pPr>
      <w:r w:rsidRPr="00734FC2">
        <w:rPr>
          <w:rFonts w:ascii="Arial" w:hAnsi="Arial" w:cs="Arial"/>
          <w:b/>
          <w:bCs/>
          <w:sz w:val="21"/>
          <w:szCs w:val="21"/>
        </w:rPr>
        <w:t>Position As</w:t>
      </w:r>
    </w:p>
    <w:p w14:paraId="37DC94AF" w14:textId="77777777" w:rsidR="00734FC2" w:rsidRPr="00734FC2" w:rsidRDefault="00734FC2" w:rsidP="00734FC2">
      <w:pPr>
        <w:spacing w:before="240"/>
        <w:rPr>
          <w:rFonts w:ascii="Arial" w:hAnsi="Arial" w:cs="Arial"/>
          <w:sz w:val="21"/>
          <w:szCs w:val="21"/>
        </w:rPr>
      </w:pPr>
      <w:r w:rsidRPr="00734FC2">
        <w:rPr>
          <w:rFonts w:ascii="Arial" w:hAnsi="Arial" w:cs="Arial"/>
          <w:sz w:val="21"/>
          <w:szCs w:val="21"/>
        </w:rPr>
        <w:t>A diagnostic, not a test. The goal is an honest picture of where you are — not a high score. Frame it as the starting point for better governance, not an assessment of past performance.</w:t>
      </w:r>
    </w:p>
    <w:p w14:paraId="2440D192" w14:textId="77777777" w:rsidR="00734FC2" w:rsidRPr="00734FC2" w:rsidRDefault="00734FC2" w:rsidP="00734FC2">
      <w:pPr>
        <w:spacing w:before="240"/>
        <w:rPr>
          <w:rFonts w:ascii="Arial" w:hAnsi="Arial" w:cs="Arial"/>
          <w:sz w:val="21"/>
          <w:szCs w:val="21"/>
        </w:rPr>
      </w:pPr>
      <w:r w:rsidRPr="00734FC2">
        <w:rPr>
          <w:rFonts w:ascii="Arial" w:hAnsi="Arial" w:cs="Arial"/>
          <w:b/>
          <w:bCs/>
          <w:sz w:val="21"/>
          <w:szCs w:val="21"/>
        </w:rPr>
        <w:t>Involve</w:t>
      </w:r>
    </w:p>
    <w:p w14:paraId="65B49944" w14:textId="77777777" w:rsidR="00734FC2" w:rsidRPr="00734FC2" w:rsidRDefault="00734FC2" w:rsidP="00734FC2">
      <w:pPr>
        <w:spacing w:before="240"/>
        <w:rPr>
          <w:rFonts w:ascii="Arial" w:hAnsi="Arial" w:cs="Arial"/>
          <w:sz w:val="21"/>
          <w:szCs w:val="21"/>
        </w:rPr>
      </w:pPr>
      <w:r w:rsidRPr="00734FC2">
        <w:rPr>
          <w:rFonts w:ascii="Arial" w:hAnsi="Arial" w:cs="Arial"/>
          <w:sz w:val="21"/>
          <w:szCs w:val="21"/>
        </w:rPr>
        <w:t>Complete as a leadership team, not individually. Include both executive and non-executive directors where both are present. Disagreement between participants is itself useful data — don't smooth it over.</w:t>
      </w:r>
    </w:p>
    <w:p w14:paraId="5C68ADA1" w14:textId="77777777" w:rsidR="00734FC2" w:rsidRPr="00734FC2" w:rsidRDefault="00734FC2" w:rsidP="00734FC2">
      <w:pPr>
        <w:spacing w:before="240"/>
        <w:rPr>
          <w:rFonts w:ascii="Arial" w:hAnsi="Arial" w:cs="Arial"/>
          <w:sz w:val="21"/>
          <w:szCs w:val="21"/>
        </w:rPr>
      </w:pPr>
      <w:r w:rsidRPr="00734FC2">
        <w:rPr>
          <w:rFonts w:ascii="Arial" w:hAnsi="Arial" w:cs="Arial"/>
          <w:b/>
          <w:bCs/>
          <w:sz w:val="21"/>
          <w:szCs w:val="21"/>
        </w:rPr>
        <w:t>Common Resistance</w:t>
      </w:r>
    </w:p>
    <w:p w14:paraId="36D9D0DB" w14:textId="77777777" w:rsidR="00734FC2" w:rsidRPr="00734FC2" w:rsidRDefault="00734FC2" w:rsidP="00734FC2">
      <w:pPr>
        <w:spacing w:before="240"/>
        <w:rPr>
          <w:rFonts w:ascii="Arial" w:hAnsi="Arial" w:cs="Arial"/>
          <w:sz w:val="21"/>
          <w:szCs w:val="21"/>
        </w:rPr>
      </w:pPr>
      <w:r w:rsidRPr="00734FC2">
        <w:rPr>
          <w:rFonts w:ascii="Arial" w:hAnsi="Arial" w:cs="Arial"/>
          <w:sz w:val="21"/>
          <w:szCs w:val="21"/>
        </w:rPr>
        <w:t>"We already have governance in place." Counter by explaining that governance theatre — structures that exist on paper but don't function — is the most common finding in AI governance assessments. The audit tests substance, not form.</w:t>
      </w:r>
    </w:p>
    <w:p w14:paraId="5D2E3374" w14:textId="77777777" w:rsidR="00734FC2" w:rsidRPr="00734FC2" w:rsidRDefault="00734FC2" w:rsidP="00734FC2">
      <w:pPr>
        <w:spacing w:before="240"/>
        <w:rPr>
          <w:rFonts w:ascii="Arial" w:hAnsi="Arial" w:cs="Arial"/>
          <w:sz w:val="21"/>
          <w:szCs w:val="21"/>
        </w:rPr>
      </w:pPr>
      <w:r w:rsidRPr="00734FC2">
        <w:rPr>
          <w:rFonts w:ascii="Arial" w:hAnsi="Arial" w:cs="Arial"/>
          <w:b/>
          <w:bCs/>
          <w:sz w:val="21"/>
          <w:szCs w:val="21"/>
        </w:rPr>
        <w:t>Quick Win</w:t>
      </w:r>
    </w:p>
    <w:p w14:paraId="5078D76F" w14:textId="77777777" w:rsidR="00734FC2" w:rsidRPr="00734FC2" w:rsidRDefault="00734FC2" w:rsidP="00734FC2">
      <w:pPr>
        <w:spacing w:before="240"/>
        <w:rPr>
          <w:rFonts w:ascii="Arial" w:hAnsi="Arial" w:cs="Arial"/>
          <w:sz w:val="21"/>
          <w:szCs w:val="21"/>
        </w:rPr>
      </w:pPr>
      <w:r w:rsidRPr="00734FC2">
        <w:rPr>
          <w:rFonts w:ascii="Arial" w:hAnsi="Arial" w:cs="Arial"/>
          <w:sz w:val="21"/>
          <w:szCs w:val="21"/>
        </w:rPr>
        <w:t>After the first session, pick the single highest-impact gap and assign a named owner with a four-week deadline. Completing one concrete action closes the loop and builds momentum for the broader improvement plan.</w:t>
      </w:r>
    </w:p>
    <w:p w14:paraId="1D5A797A" w14:textId="77777777" w:rsidR="00734FC2" w:rsidRDefault="00734FC2">
      <w:pPr>
        <w:spacing w:before="240"/>
      </w:pPr>
    </w:p>
    <w:p w14:paraId="09C53174" w14:textId="5C56DE84" w:rsidR="00F7760B" w:rsidRDefault="00F7760B" w:rsidP="00F7760B">
      <w:r w:rsidRPr="00710712">
        <w:rPr>
          <w:rFonts w:ascii="Arial" w:hAnsi="Arial" w:cs="Arial"/>
          <w:b/>
          <w:bCs/>
        </w:rPr>
        <w:t>Disclaimer</w:t>
      </w:r>
      <w:r w:rsidRPr="00710712">
        <w:rPr>
          <w:rFonts w:ascii="Arial" w:hAnsi="Arial" w:cs="Arial"/>
        </w:rPr>
        <w:br/>
        <w:t xml:space="preserve">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 </w:t>
      </w:r>
    </w:p>
    <w:sectPr w:rsidR="00F7760B">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E2D5" w14:textId="77777777" w:rsidR="003301E5" w:rsidRDefault="003301E5">
      <w:r>
        <w:separator/>
      </w:r>
    </w:p>
  </w:endnote>
  <w:endnote w:type="continuationSeparator" w:id="0">
    <w:p w14:paraId="6BA9A0C2" w14:textId="77777777" w:rsidR="003301E5" w:rsidRDefault="0033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6F3D" w14:textId="40F9A32B" w:rsidR="00C90FEF" w:rsidRDefault="0067374E">
    <w:pPr>
      <w:pBdr>
        <w:top w:val="single" w:sz="4" w:space="0" w:color="5B2D8E"/>
      </w:pBdr>
      <w:spacing w:before="120"/>
    </w:pPr>
    <w:r>
      <w:rPr>
        <w:rFonts w:ascii="Arial" w:eastAsia="Arial" w:hAnsi="Arial" w:cs="Arial"/>
        <w:color w:val="555555"/>
        <w:sz w:val="15"/>
        <w:szCs w:val="15"/>
      </w:rPr>
      <w:t>Provided by the Institute of Directors</w:t>
    </w:r>
    <w:r w:rsidR="002D1E61">
      <w:rPr>
        <w:rFonts w:ascii="Arial" w:eastAsia="Arial" w:hAnsi="Arial" w:cs="Arial"/>
        <w:color w:val="555555"/>
        <w:sz w:val="15"/>
        <w:szCs w:val="15"/>
      </w:rPr>
      <w:t xml:space="preserve"> (IoD)</w:t>
    </w:r>
    <w:r>
      <w:rPr>
        <w:rFonts w:ascii="Arial" w:eastAsia="Arial" w:hAnsi="Arial" w:cs="Arial"/>
        <w:color w:val="555555"/>
        <w:sz w:val="15"/>
        <w:szCs w:val="15"/>
      </w:rPr>
      <w:t xml:space="preserve"> Ireland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323C" w14:textId="77777777" w:rsidR="003301E5" w:rsidRDefault="003301E5">
      <w:r>
        <w:separator/>
      </w:r>
    </w:p>
  </w:footnote>
  <w:footnote w:type="continuationSeparator" w:id="0">
    <w:p w14:paraId="3719834C" w14:textId="77777777" w:rsidR="003301E5" w:rsidRDefault="0033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20F" w14:textId="0782124E" w:rsidR="00C90FEF" w:rsidRDefault="0067374E">
    <w:pPr>
      <w:pBdr>
        <w:bottom w:val="single" w:sz="4" w:space="0" w:color="5B2D8E"/>
      </w:pBdr>
      <w:spacing w:after="160"/>
      <w:jc w:val="right"/>
    </w:pPr>
    <w:r>
      <w:rPr>
        <w:rFonts w:ascii="Arial" w:eastAsia="Arial" w:hAnsi="Arial" w:cs="Arial"/>
        <w:color w:val="555555"/>
        <w:sz w:val="17"/>
        <w:szCs w:val="17"/>
      </w:rPr>
      <w:t xml:space="preserve">IoD AI Governance </w:t>
    </w:r>
    <w:r w:rsidR="00613A73">
      <w:rPr>
        <w:rFonts w:ascii="Arial" w:eastAsia="Arial" w:hAnsi="Arial" w:cs="Arial"/>
        <w:color w:val="555555"/>
        <w:sz w:val="17"/>
        <w:szCs w:val="17"/>
      </w:rPr>
      <w:t>Toolkit · Tool</w:t>
    </w:r>
    <w:r>
      <w:rPr>
        <w:rFonts w:ascii="Arial" w:eastAsia="Arial" w:hAnsi="Arial" w:cs="Arial"/>
        <w:color w:val="555555"/>
        <w:sz w:val="17"/>
        <w:szCs w:val="17"/>
      </w:rPr>
      <w:t xml:space="preserve"> </w:t>
    </w:r>
    <w:r w:rsidR="00613A73">
      <w:rPr>
        <w:rFonts w:ascii="Arial" w:eastAsia="Arial" w:hAnsi="Arial" w:cs="Arial"/>
        <w:color w:val="555555"/>
        <w:sz w:val="17"/>
        <w:szCs w:val="17"/>
      </w:rPr>
      <w:t>3.1 ·</w:t>
    </w:r>
    <w:r w:rsidR="0058121B">
      <w:rPr>
        <w:rFonts w:ascii="Arial" w:eastAsia="Arial" w:hAnsi="Arial" w:cs="Arial"/>
        <w:color w:val="555555"/>
        <w:sz w:val="17"/>
        <w:szCs w:val="17"/>
      </w:rPr>
      <w:t>User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24F41"/>
    <w:multiLevelType w:val="multilevel"/>
    <w:tmpl w:val="5A72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D5B92"/>
    <w:multiLevelType w:val="hybridMultilevel"/>
    <w:tmpl w:val="7FE6F93E"/>
    <w:lvl w:ilvl="0" w:tplc="6180D2BA">
      <w:start w:val="1"/>
      <w:numFmt w:val="bullet"/>
      <w:lvlText w:val="●"/>
      <w:lvlJc w:val="left"/>
      <w:pPr>
        <w:ind w:left="720" w:hanging="360"/>
      </w:pPr>
    </w:lvl>
    <w:lvl w:ilvl="1" w:tplc="D9A40338">
      <w:start w:val="1"/>
      <w:numFmt w:val="bullet"/>
      <w:lvlText w:val="○"/>
      <w:lvlJc w:val="left"/>
      <w:pPr>
        <w:ind w:left="1440" w:hanging="360"/>
      </w:pPr>
    </w:lvl>
    <w:lvl w:ilvl="2" w:tplc="C3A41CF6">
      <w:start w:val="1"/>
      <w:numFmt w:val="bullet"/>
      <w:lvlText w:val="■"/>
      <w:lvlJc w:val="left"/>
      <w:pPr>
        <w:ind w:left="2160" w:hanging="360"/>
      </w:pPr>
    </w:lvl>
    <w:lvl w:ilvl="3" w:tplc="7702EFAA">
      <w:start w:val="1"/>
      <w:numFmt w:val="bullet"/>
      <w:lvlText w:val="●"/>
      <w:lvlJc w:val="left"/>
      <w:pPr>
        <w:ind w:left="2880" w:hanging="360"/>
      </w:pPr>
    </w:lvl>
    <w:lvl w:ilvl="4" w:tplc="0A56038A">
      <w:start w:val="1"/>
      <w:numFmt w:val="bullet"/>
      <w:lvlText w:val="○"/>
      <w:lvlJc w:val="left"/>
      <w:pPr>
        <w:ind w:left="3600" w:hanging="360"/>
      </w:pPr>
    </w:lvl>
    <w:lvl w:ilvl="5" w:tplc="2B8864D0">
      <w:start w:val="1"/>
      <w:numFmt w:val="bullet"/>
      <w:lvlText w:val="■"/>
      <w:lvlJc w:val="left"/>
      <w:pPr>
        <w:ind w:left="4320" w:hanging="360"/>
      </w:pPr>
    </w:lvl>
    <w:lvl w:ilvl="6" w:tplc="0986BD32">
      <w:start w:val="1"/>
      <w:numFmt w:val="bullet"/>
      <w:lvlText w:val="●"/>
      <w:lvlJc w:val="left"/>
      <w:pPr>
        <w:ind w:left="5040" w:hanging="360"/>
      </w:pPr>
    </w:lvl>
    <w:lvl w:ilvl="7" w:tplc="9760AB32">
      <w:start w:val="1"/>
      <w:numFmt w:val="bullet"/>
      <w:lvlText w:val="●"/>
      <w:lvlJc w:val="left"/>
      <w:pPr>
        <w:ind w:left="5760" w:hanging="360"/>
      </w:pPr>
    </w:lvl>
    <w:lvl w:ilvl="8" w:tplc="2CD42814">
      <w:start w:val="1"/>
      <w:numFmt w:val="bullet"/>
      <w:lvlText w:val="●"/>
      <w:lvlJc w:val="left"/>
      <w:pPr>
        <w:ind w:left="6480" w:hanging="360"/>
      </w:pPr>
    </w:lvl>
  </w:abstractNum>
  <w:abstractNum w:abstractNumId="2" w15:restartNumberingAfterBreak="0">
    <w:nsid w:val="6DDF4F9D"/>
    <w:multiLevelType w:val="multilevel"/>
    <w:tmpl w:val="0302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013721">
    <w:abstractNumId w:val="1"/>
    <w:lvlOverride w:ilvl="0">
      <w:startOverride w:val="1"/>
    </w:lvlOverride>
  </w:num>
  <w:num w:numId="2" w16cid:durableId="1741439782">
    <w:abstractNumId w:val="2"/>
  </w:num>
  <w:num w:numId="3" w16cid:durableId="162511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EF"/>
    <w:rsid w:val="002D1E61"/>
    <w:rsid w:val="003301E5"/>
    <w:rsid w:val="004666DD"/>
    <w:rsid w:val="0058121B"/>
    <w:rsid w:val="00613A73"/>
    <w:rsid w:val="0067374E"/>
    <w:rsid w:val="00710712"/>
    <w:rsid w:val="00734FC2"/>
    <w:rsid w:val="00954EB8"/>
    <w:rsid w:val="009D3997"/>
    <w:rsid w:val="00A94E3F"/>
    <w:rsid w:val="00B36F29"/>
    <w:rsid w:val="00C90FEF"/>
    <w:rsid w:val="00D64F18"/>
    <w:rsid w:val="00EE28FA"/>
    <w:rsid w:val="00F776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006F"/>
  <w15:docId w15:val="{34C01361-8125-46C8-8BDF-55D7AF49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13A73"/>
    <w:pPr>
      <w:tabs>
        <w:tab w:val="center" w:pos="4513"/>
        <w:tab w:val="right" w:pos="9026"/>
      </w:tabs>
    </w:pPr>
  </w:style>
  <w:style w:type="character" w:customStyle="1" w:styleId="HeaderChar">
    <w:name w:val="Header Char"/>
    <w:basedOn w:val="DefaultParagraphFont"/>
    <w:link w:val="Header"/>
    <w:uiPriority w:val="99"/>
    <w:rsid w:val="00613A73"/>
  </w:style>
  <w:style w:type="paragraph" w:styleId="Footer">
    <w:name w:val="footer"/>
    <w:basedOn w:val="Normal"/>
    <w:link w:val="FooterChar"/>
    <w:uiPriority w:val="99"/>
    <w:unhideWhenUsed/>
    <w:rsid w:val="00613A73"/>
    <w:pPr>
      <w:tabs>
        <w:tab w:val="center" w:pos="4513"/>
        <w:tab w:val="right" w:pos="9026"/>
      </w:tabs>
    </w:pPr>
  </w:style>
  <w:style w:type="character" w:customStyle="1" w:styleId="FooterChar">
    <w:name w:val="Footer Char"/>
    <w:basedOn w:val="DefaultParagraphFont"/>
    <w:link w:val="Footer"/>
    <w:uiPriority w:val="99"/>
    <w:rsid w:val="0061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Caroline Kinsella</cp:lastModifiedBy>
  <cp:revision>3</cp:revision>
  <dcterms:created xsi:type="dcterms:W3CDTF">2026-05-05T18:13:00Z</dcterms:created>
  <dcterms:modified xsi:type="dcterms:W3CDTF">2026-05-05T18:13:00Z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2026-04-28T07:28:16Z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c16e334d-1ddd-43b4-b5db-306f25a8ffee</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