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63492" w14:paraId="37F935E9" w14:textId="77777777">
        <w:tc>
          <w:tcPr>
            <w:tcW w:w="9026" w:type="dxa"/>
            <w:tcBorders>
              <w:top w:val="none" w:sz="0" w:space="0" w:color="FFFFFF"/>
              <w:left w:val="none" w:sz="0" w:space="0" w:color="FFFFFF"/>
              <w:bottom w:val="none" w:sz="0" w:space="0" w:color="FFFFFF"/>
              <w:right w:val="none" w:sz="0" w:space="0" w:color="FFFFFF"/>
            </w:tcBorders>
            <w:shd w:val="clear" w:color="auto" w:fill="5F2EDB"/>
            <w:tcMar>
              <w:top w:w="300" w:type="dxa"/>
              <w:left w:w="280" w:type="dxa"/>
              <w:bottom w:w="300" w:type="dxa"/>
              <w:right w:w="280" w:type="dxa"/>
            </w:tcMar>
          </w:tcPr>
          <w:p w14:paraId="3C9FA77D" w14:textId="77777777" w:rsidR="00B63492" w:rsidRDefault="0026080C">
            <w:pPr>
              <w:spacing w:after="80"/>
            </w:pPr>
            <w:r>
              <w:rPr>
                <w:rFonts w:ascii="Arial" w:eastAsia="Arial" w:hAnsi="Arial" w:cs="Arial"/>
                <w:b/>
                <w:bCs/>
                <w:color w:val="FFFFFF"/>
                <w:sz w:val="40"/>
                <w:szCs w:val="40"/>
              </w:rPr>
              <w:t>AI Use Policy Builder</w:t>
            </w:r>
          </w:p>
          <w:p w14:paraId="53E94B43" w14:textId="74621533" w:rsidR="00B63492" w:rsidRDefault="0026080C">
            <w:r>
              <w:rPr>
                <w:rFonts w:ascii="Arial" w:eastAsia="Arial" w:hAnsi="Arial" w:cs="Arial"/>
                <w:color w:val="FFFFFF"/>
                <w:sz w:val="24"/>
                <w:szCs w:val="24"/>
              </w:rPr>
              <w:t xml:space="preserve">Implementation </w:t>
            </w:r>
            <w:r w:rsidR="0048717F">
              <w:rPr>
                <w:rFonts w:ascii="Arial" w:eastAsia="Arial" w:hAnsi="Arial" w:cs="Arial"/>
                <w:color w:val="FFFFFF"/>
                <w:sz w:val="24"/>
                <w:szCs w:val="24"/>
              </w:rPr>
              <w:t>Guide · IoD</w:t>
            </w:r>
            <w:r>
              <w:rPr>
                <w:rFonts w:ascii="Arial" w:eastAsia="Arial" w:hAnsi="Arial" w:cs="Arial"/>
                <w:color w:val="FFFFFF"/>
                <w:sz w:val="24"/>
                <w:szCs w:val="24"/>
              </w:rPr>
              <w:t xml:space="preserve"> AI Governance </w:t>
            </w:r>
            <w:r w:rsidR="0048717F">
              <w:rPr>
                <w:rFonts w:ascii="Arial" w:eastAsia="Arial" w:hAnsi="Arial" w:cs="Arial"/>
                <w:color w:val="FFFFFF"/>
                <w:sz w:val="24"/>
                <w:szCs w:val="24"/>
              </w:rPr>
              <w:t>Toolkit · Tool</w:t>
            </w:r>
            <w:r>
              <w:rPr>
                <w:rFonts w:ascii="Arial" w:eastAsia="Arial" w:hAnsi="Arial" w:cs="Arial"/>
                <w:color w:val="FFFFFF"/>
                <w:sz w:val="24"/>
                <w:szCs w:val="24"/>
              </w:rPr>
              <w:t xml:space="preserve"> 2.1</w:t>
            </w:r>
          </w:p>
        </w:tc>
      </w:tr>
    </w:tbl>
    <w:p w14:paraId="6E960D0C" w14:textId="77777777" w:rsidR="00B63492" w:rsidRDefault="00B63492">
      <w:pPr>
        <w:spacing w:after="2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63492" w14:paraId="55B6BB5F" w14:textId="77777777">
        <w:tc>
          <w:tcPr>
            <w:tcW w:w="9026" w:type="dxa"/>
            <w:tcBorders>
              <w:top w:val="none" w:sz="0" w:space="0" w:color="FFFFFF"/>
              <w:left w:val="none" w:sz="0" w:space="0" w:color="FFFFFF"/>
              <w:bottom w:val="none" w:sz="0" w:space="0" w:color="FFFFFF"/>
              <w:right w:val="none" w:sz="0" w:space="0" w:color="FFFFFF"/>
            </w:tcBorders>
            <w:shd w:val="clear" w:color="auto" w:fill="CDC1F1"/>
            <w:tcMar>
              <w:top w:w="160" w:type="dxa"/>
              <w:left w:w="220" w:type="dxa"/>
              <w:bottom w:w="160" w:type="dxa"/>
              <w:right w:w="220" w:type="dxa"/>
            </w:tcMar>
          </w:tcPr>
          <w:p w14:paraId="0D7F8AA9" w14:textId="77777777" w:rsidR="00B63492" w:rsidRDefault="0026080C">
            <w:pPr>
              <w:spacing w:after="80"/>
            </w:pPr>
            <w:r>
              <w:rPr>
                <w:rFonts w:ascii="Arial" w:eastAsia="Arial" w:hAnsi="Arial" w:cs="Arial"/>
                <w:b/>
                <w:bCs/>
                <w:color w:val="5B2D8E"/>
              </w:rPr>
              <w:t>About this guide</w:t>
            </w:r>
          </w:p>
          <w:p w14:paraId="70F72E43" w14:textId="77777777" w:rsidR="00B63492" w:rsidRDefault="0026080C">
            <w:r>
              <w:rPr>
                <w:rFonts w:ascii="Arial" w:eastAsia="Arial" w:hAnsi="Arial" w:cs="Arial"/>
                <w:color w:val="1A1A1A"/>
              </w:rPr>
              <w:t>A policy only works if people know about it and follow it. This guide covers two things: how to know your policy is working, and how to make sure it actually takes hold in your organisation.</w:t>
            </w:r>
          </w:p>
        </w:tc>
      </w:tr>
    </w:tbl>
    <w:p w14:paraId="5E3F0F3D" w14:textId="77777777" w:rsidR="00B63492" w:rsidRDefault="00B63492">
      <w:pPr>
        <w:spacing w:after="2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63492" w14:paraId="78B7CC1A" w14:textId="77777777">
        <w:tc>
          <w:tcPr>
            <w:tcW w:w="9026" w:type="dxa"/>
            <w:tcBorders>
              <w:top w:val="none" w:sz="0" w:space="0" w:color="FFFFFF"/>
              <w:left w:val="none" w:sz="0" w:space="0" w:color="FFFFFF"/>
              <w:bottom w:val="none" w:sz="0" w:space="0" w:color="FFFFFF"/>
              <w:right w:val="none" w:sz="0" w:space="0" w:color="FFFFFF"/>
            </w:tcBorders>
            <w:shd w:val="clear" w:color="auto" w:fill="5F2EDB"/>
            <w:tcMar>
              <w:top w:w="140" w:type="dxa"/>
              <w:left w:w="220" w:type="dxa"/>
              <w:bottom w:w="140" w:type="dxa"/>
              <w:right w:w="220" w:type="dxa"/>
            </w:tcMar>
          </w:tcPr>
          <w:p w14:paraId="34388E4C" w14:textId="77777777" w:rsidR="00B63492" w:rsidRDefault="0026080C">
            <w:r>
              <w:rPr>
                <w:rFonts w:ascii="Arial" w:eastAsia="Arial" w:hAnsi="Arial" w:cs="Arial"/>
                <w:b/>
                <w:bCs/>
                <w:color w:val="FFFFFF"/>
                <w:sz w:val="22"/>
                <w:szCs w:val="22"/>
              </w:rPr>
              <w:t>Section 1 — How to Measure Success</w:t>
            </w:r>
          </w:p>
        </w:tc>
      </w:tr>
    </w:tbl>
    <w:p w14:paraId="3E1E0120" w14:textId="77777777" w:rsidR="00B63492" w:rsidRDefault="00B63492">
      <w:pPr>
        <w:spacing w:after="160"/>
      </w:pPr>
    </w:p>
    <w:p w14:paraId="201DEFE2" w14:textId="77777777" w:rsidR="00B63492" w:rsidRDefault="0026080C">
      <w:pPr>
        <w:spacing w:before="80" w:after="200"/>
      </w:pPr>
      <w:r>
        <w:rPr>
          <w:rFonts w:ascii="Arial" w:eastAsia="Arial" w:hAnsi="Arial" w:cs="Arial"/>
          <w:color w:val="1A1A1A"/>
          <w:sz w:val="21"/>
          <w:szCs w:val="21"/>
        </w:rPr>
        <w:t>Track progress across both leading and lagging measures. Leading indicators tell you early whether the policy is landing. Lagging indicators confirm whether it is changing behaviour over time.</w:t>
      </w:r>
    </w:p>
    <w:p w14:paraId="378880FA" w14:textId="77777777" w:rsidR="00B63492" w:rsidRDefault="0026080C">
      <w:pPr>
        <w:spacing w:before="200" w:after="80"/>
      </w:pPr>
      <w:r>
        <w:rPr>
          <w:rFonts w:ascii="Arial" w:eastAsia="Arial" w:hAnsi="Arial" w:cs="Arial"/>
          <w:b/>
          <w:bCs/>
          <w:color w:val="7B52AE"/>
          <w:sz w:val="22"/>
          <w:szCs w:val="22"/>
        </w:rPr>
        <w:t>1.  Policy Awareness</w:t>
      </w:r>
    </w:p>
    <w:p w14:paraId="0AC8C26D" w14:textId="216FBCB5" w:rsidR="00B63492" w:rsidRDefault="0026080C">
      <w:pPr>
        <w:spacing w:before="80" w:after="120"/>
      </w:pPr>
      <w:r>
        <w:rPr>
          <w:rFonts w:ascii="Arial" w:eastAsia="Arial" w:hAnsi="Arial" w:cs="Arial"/>
          <w:color w:val="1A1A1A"/>
          <w:sz w:val="21"/>
          <w:szCs w:val="21"/>
        </w:rPr>
        <w:t>Percentage of staff who can identify the organisation's position on AI use when asked via spot check or short survey.</w:t>
      </w:r>
    </w:p>
    <w:p w14:paraId="52D78DA3" w14:textId="77777777" w:rsidR="00B63492" w:rsidRDefault="0026080C">
      <w:pPr>
        <w:spacing w:before="80" w:after="120"/>
      </w:pPr>
      <w:r>
        <w:rPr>
          <w:rFonts w:ascii="Arial" w:eastAsia="Arial" w:hAnsi="Arial" w:cs="Arial"/>
          <w:b/>
          <w:bCs/>
          <w:color w:val="5B2D8E"/>
          <w:sz w:val="21"/>
          <w:szCs w:val="21"/>
        </w:rPr>
        <w:t>Target: 80% or above within 3 months of launch.</w:t>
      </w:r>
    </w:p>
    <w:p w14:paraId="32618F57" w14:textId="77777777" w:rsidR="00B63492" w:rsidRDefault="00B63492">
      <w:pPr>
        <w:spacing w:after="80"/>
      </w:pPr>
    </w:p>
    <w:p w14:paraId="63C4D060" w14:textId="77777777" w:rsidR="00B63492" w:rsidRDefault="0026080C">
      <w:pPr>
        <w:spacing w:before="200" w:after="80"/>
      </w:pPr>
      <w:r>
        <w:rPr>
          <w:rFonts w:ascii="Arial" w:eastAsia="Arial" w:hAnsi="Arial" w:cs="Arial"/>
          <w:b/>
          <w:bCs/>
          <w:color w:val="7B52AE"/>
          <w:sz w:val="22"/>
          <w:szCs w:val="22"/>
        </w:rPr>
        <w:t>2.  Use Case Coverage</w:t>
      </w:r>
    </w:p>
    <w:p w14:paraId="107ACF91" w14:textId="5575CB4F" w:rsidR="00B63492" w:rsidRDefault="0026080C">
      <w:pPr>
        <w:spacing w:before="80" w:after="120"/>
      </w:pPr>
      <w:r>
        <w:rPr>
          <w:rFonts w:ascii="Arial" w:eastAsia="Arial" w:hAnsi="Arial" w:cs="Arial"/>
          <w:color w:val="1A1A1A"/>
          <w:sz w:val="21"/>
          <w:szCs w:val="21"/>
        </w:rPr>
        <w:t>Percentage of known AI use cases from your AI inventory, including both procured tools and audit discoveries that have been formally classified under the policy.</w:t>
      </w:r>
    </w:p>
    <w:p w14:paraId="5279953D" w14:textId="77777777" w:rsidR="00B63492" w:rsidRDefault="0026080C">
      <w:pPr>
        <w:spacing w:before="80" w:after="120"/>
      </w:pPr>
      <w:r>
        <w:rPr>
          <w:rFonts w:ascii="Arial" w:eastAsia="Arial" w:hAnsi="Arial" w:cs="Arial"/>
          <w:b/>
          <w:bCs/>
          <w:color w:val="5B2D8E"/>
          <w:sz w:val="21"/>
          <w:szCs w:val="21"/>
        </w:rPr>
        <w:t>Target: 100% at launch, reviewed quarterly.</w:t>
      </w:r>
    </w:p>
    <w:p w14:paraId="1D5F1B68" w14:textId="77777777" w:rsidR="00B63492" w:rsidRDefault="00B63492">
      <w:pPr>
        <w:spacing w:after="80"/>
      </w:pPr>
    </w:p>
    <w:p w14:paraId="64AB1AE1" w14:textId="77777777" w:rsidR="00B63492" w:rsidRDefault="0026080C">
      <w:pPr>
        <w:spacing w:before="200" w:after="80"/>
      </w:pPr>
      <w:r>
        <w:rPr>
          <w:rFonts w:ascii="Arial" w:eastAsia="Arial" w:hAnsi="Arial" w:cs="Arial"/>
          <w:b/>
          <w:bCs/>
          <w:color w:val="7B52AE"/>
          <w:sz w:val="22"/>
          <w:szCs w:val="22"/>
        </w:rPr>
        <w:t>3.  Incident Response</w:t>
      </w:r>
    </w:p>
    <w:p w14:paraId="13330920" w14:textId="77777777" w:rsidR="00B63492" w:rsidRDefault="0026080C">
      <w:pPr>
        <w:spacing w:before="80" w:after="120"/>
      </w:pPr>
      <w:r>
        <w:rPr>
          <w:rFonts w:ascii="Arial" w:eastAsia="Arial" w:hAnsi="Arial" w:cs="Arial"/>
          <w:color w:val="1A1A1A"/>
          <w:sz w:val="21"/>
          <w:szCs w:val="21"/>
        </w:rPr>
        <w:t>Number of AI-related incidents (data breaches, hallucination-based errors, unapproved tool use) where the policy was referenced in the response.</w:t>
      </w:r>
    </w:p>
    <w:p w14:paraId="27F1CCDF" w14:textId="77777777" w:rsidR="00B63492" w:rsidRDefault="0026080C">
      <w:pPr>
        <w:spacing w:before="80" w:after="120"/>
      </w:pPr>
      <w:r>
        <w:rPr>
          <w:rFonts w:ascii="Arial" w:eastAsia="Arial" w:hAnsi="Arial" w:cs="Arial"/>
          <w:b/>
          <w:bCs/>
          <w:color w:val="5B2D8E"/>
          <w:sz w:val="21"/>
          <w:szCs w:val="21"/>
        </w:rPr>
        <w:t>Target: 100% of incidents reference the policy.</w:t>
      </w:r>
    </w:p>
    <w:p w14:paraId="024D3BFD" w14:textId="77777777" w:rsidR="00B63492" w:rsidRDefault="00B63492">
      <w:pPr>
        <w:spacing w:after="80"/>
      </w:pPr>
    </w:p>
    <w:p w14:paraId="68031C7E" w14:textId="77777777" w:rsidR="00B63492" w:rsidRDefault="0026080C">
      <w:pPr>
        <w:spacing w:before="200" w:after="80"/>
      </w:pPr>
      <w:r>
        <w:rPr>
          <w:rFonts w:ascii="Arial" w:eastAsia="Arial" w:hAnsi="Arial" w:cs="Arial"/>
          <w:b/>
          <w:bCs/>
          <w:color w:val="7B52AE"/>
          <w:sz w:val="22"/>
          <w:szCs w:val="22"/>
        </w:rPr>
        <w:t>4.  Review Cadence</w:t>
      </w:r>
    </w:p>
    <w:p w14:paraId="5A6907D5" w14:textId="77777777" w:rsidR="00B63492" w:rsidRDefault="0026080C">
      <w:pPr>
        <w:spacing w:before="80" w:after="120"/>
      </w:pPr>
      <w:r>
        <w:rPr>
          <w:rFonts w:ascii="Arial" w:eastAsia="Arial" w:hAnsi="Arial" w:cs="Arial"/>
          <w:color w:val="1A1A1A"/>
          <w:sz w:val="21"/>
          <w:szCs w:val="21"/>
        </w:rPr>
        <w:t>Whether the policy has been reviewed and updated within the stated review period.</w:t>
      </w:r>
    </w:p>
    <w:p w14:paraId="0A5E631A" w14:textId="77777777" w:rsidR="00B63492" w:rsidRDefault="0026080C">
      <w:pPr>
        <w:spacing w:before="80" w:after="120"/>
      </w:pPr>
      <w:r>
        <w:rPr>
          <w:rFonts w:ascii="Arial" w:eastAsia="Arial" w:hAnsi="Arial" w:cs="Arial"/>
          <w:b/>
          <w:bCs/>
          <w:color w:val="5B2D8E"/>
          <w:sz w:val="21"/>
          <w:szCs w:val="21"/>
        </w:rPr>
        <w:t>Target: reviewed every 6 months.</w:t>
      </w:r>
    </w:p>
    <w:p w14:paraId="620CA56C" w14:textId="77777777" w:rsidR="00B63492" w:rsidRDefault="00B63492">
      <w:pPr>
        <w:spacing w:after="80"/>
      </w:pPr>
    </w:p>
    <w:p w14:paraId="1A331D4B" w14:textId="77777777" w:rsidR="00B63492" w:rsidRDefault="0026080C">
      <w:pPr>
        <w:spacing w:before="200" w:after="80"/>
      </w:pPr>
      <w:r>
        <w:rPr>
          <w:rFonts w:ascii="Arial" w:eastAsia="Arial" w:hAnsi="Arial" w:cs="Arial"/>
          <w:b/>
          <w:bCs/>
          <w:color w:val="7B52AE"/>
          <w:sz w:val="22"/>
          <w:szCs w:val="22"/>
        </w:rPr>
        <w:t>5.  Classification Currency</w:t>
      </w:r>
    </w:p>
    <w:p w14:paraId="35F77FCB" w14:textId="77777777" w:rsidR="00B63492" w:rsidRDefault="0026080C">
      <w:pPr>
        <w:spacing w:before="80" w:after="120"/>
      </w:pPr>
      <w:r>
        <w:rPr>
          <w:rFonts w:ascii="Arial" w:eastAsia="Arial" w:hAnsi="Arial" w:cs="Arial"/>
          <w:color w:val="1A1A1A"/>
          <w:sz w:val="21"/>
          <w:szCs w:val="21"/>
        </w:rPr>
        <w:t>Number of new AI tools or use cases identified since the last review that have not yet been classified under the policy.</w:t>
      </w:r>
    </w:p>
    <w:p w14:paraId="72EE5567" w14:textId="77777777" w:rsidR="00B63492" w:rsidRDefault="0026080C">
      <w:pPr>
        <w:spacing w:before="80" w:after="120"/>
      </w:pPr>
      <w:r>
        <w:rPr>
          <w:rFonts w:ascii="Arial" w:eastAsia="Arial" w:hAnsi="Arial" w:cs="Arial"/>
          <w:b/>
          <w:bCs/>
          <w:color w:val="5B2D8E"/>
          <w:sz w:val="21"/>
          <w:szCs w:val="21"/>
        </w:rPr>
        <w:t>Target: zero backlog at each review.</w:t>
      </w:r>
    </w:p>
    <w:p w14:paraId="3C4F3546" w14:textId="77777777" w:rsidR="00B63492" w:rsidRDefault="00B63492">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63492" w14:paraId="0A81807B" w14:textId="77777777">
        <w:tc>
          <w:tcPr>
            <w:tcW w:w="9026" w:type="dxa"/>
            <w:tcBorders>
              <w:top w:val="none" w:sz="0" w:space="0" w:color="FFFFFF"/>
              <w:left w:val="none" w:sz="0" w:space="0" w:color="FFFFFF"/>
              <w:bottom w:val="none" w:sz="0" w:space="0" w:color="FFFFFF"/>
              <w:right w:val="none" w:sz="0" w:space="0" w:color="FFFFFF"/>
            </w:tcBorders>
            <w:shd w:val="clear" w:color="auto" w:fill="CDC1F1"/>
            <w:tcMar>
              <w:top w:w="160" w:type="dxa"/>
              <w:left w:w="220" w:type="dxa"/>
              <w:bottom w:w="160" w:type="dxa"/>
              <w:right w:w="220" w:type="dxa"/>
            </w:tcMar>
          </w:tcPr>
          <w:p w14:paraId="45BB84CA" w14:textId="77777777" w:rsidR="00B63492" w:rsidRDefault="0026080C">
            <w:pPr>
              <w:spacing w:after="80"/>
            </w:pPr>
            <w:r>
              <w:rPr>
                <w:rFonts w:ascii="Arial" w:eastAsia="Arial" w:hAnsi="Arial" w:cs="Arial"/>
                <w:b/>
                <w:bCs/>
                <w:color w:val="5B2D8E"/>
              </w:rPr>
              <w:lastRenderedPageBreak/>
              <w:t>Board reporting statement</w:t>
            </w:r>
          </w:p>
          <w:p w14:paraId="45E2025D" w14:textId="77777777" w:rsidR="00B63492" w:rsidRDefault="0026080C">
            <w:r>
              <w:rPr>
                <w:rFonts w:ascii="Arial" w:eastAsia="Arial" w:hAnsi="Arial" w:cs="Arial"/>
                <w:color w:val="1A1A1A"/>
              </w:rPr>
              <w:t>"AI use policy covers [X] use cases across [Y] departments; [Z]% staff awareness; policy reviewed [date]; next review [date]."</w:t>
            </w:r>
          </w:p>
        </w:tc>
      </w:tr>
    </w:tbl>
    <w:p w14:paraId="252AA83B" w14:textId="77777777" w:rsidR="00B63492" w:rsidRDefault="00B63492">
      <w:pPr>
        <w:spacing w:after="3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63492" w14:paraId="2BE4A536" w14:textId="77777777">
        <w:tc>
          <w:tcPr>
            <w:tcW w:w="9026" w:type="dxa"/>
            <w:tcBorders>
              <w:top w:val="none" w:sz="0" w:space="0" w:color="FFFFFF"/>
              <w:left w:val="none" w:sz="0" w:space="0" w:color="FFFFFF"/>
              <w:bottom w:val="none" w:sz="0" w:space="0" w:color="FFFFFF"/>
              <w:right w:val="none" w:sz="0" w:space="0" w:color="FFFFFF"/>
            </w:tcBorders>
            <w:shd w:val="clear" w:color="auto" w:fill="5F2EDB"/>
            <w:tcMar>
              <w:top w:w="140" w:type="dxa"/>
              <w:left w:w="220" w:type="dxa"/>
              <w:bottom w:w="140" w:type="dxa"/>
              <w:right w:w="220" w:type="dxa"/>
            </w:tcMar>
          </w:tcPr>
          <w:p w14:paraId="7084A617" w14:textId="77777777" w:rsidR="00B63492" w:rsidRDefault="0026080C">
            <w:r>
              <w:rPr>
                <w:rFonts w:ascii="Arial" w:eastAsia="Arial" w:hAnsi="Arial" w:cs="Arial"/>
                <w:b/>
                <w:bCs/>
                <w:color w:val="FFFFFF"/>
                <w:sz w:val="22"/>
                <w:szCs w:val="22"/>
              </w:rPr>
              <w:t>Section 2 — Embedding the Policy</w:t>
            </w:r>
          </w:p>
        </w:tc>
      </w:tr>
    </w:tbl>
    <w:p w14:paraId="7DA2CEF9" w14:textId="77777777" w:rsidR="00B63492" w:rsidRDefault="00B63492">
      <w:pPr>
        <w:spacing w:after="160"/>
      </w:pPr>
    </w:p>
    <w:p w14:paraId="69EB15CC" w14:textId="730A5025" w:rsidR="00B63492" w:rsidRDefault="0026080C">
      <w:pPr>
        <w:spacing w:before="80" w:after="200"/>
      </w:pPr>
      <w:r>
        <w:rPr>
          <w:rFonts w:ascii="Arial" w:eastAsia="Arial" w:hAnsi="Arial" w:cs="Arial"/>
          <w:color w:val="1A1A1A"/>
          <w:sz w:val="21"/>
          <w:szCs w:val="21"/>
        </w:rPr>
        <w:t>The difference between a policy that changes behaviour and one that doesn't is almost always about communication and follow-through</w:t>
      </w:r>
      <w:r w:rsidR="0048717F">
        <w:rPr>
          <w:rFonts w:ascii="Arial" w:eastAsia="Arial" w:hAnsi="Arial" w:cs="Arial"/>
          <w:color w:val="1A1A1A"/>
          <w:sz w:val="21"/>
          <w:szCs w:val="21"/>
        </w:rPr>
        <w:t xml:space="preserve">, </w:t>
      </w:r>
      <w:r>
        <w:rPr>
          <w:rFonts w:ascii="Arial" w:eastAsia="Arial" w:hAnsi="Arial" w:cs="Arial"/>
          <w:color w:val="1A1A1A"/>
          <w:sz w:val="21"/>
          <w:szCs w:val="21"/>
        </w:rPr>
        <w:t>not about the words on the page.</w:t>
      </w:r>
    </w:p>
    <w:p w14:paraId="7AB03050" w14:textId="77777777" w:rsidR="00B63492" w:rsidRDefault="0026080C">
      <w:pPr>
        <w:spacing w:before="200" w:after="80"/>
      </w:pPr>
      <w:r>
        <w:rPr>
          <w:rFonts w:ascii="Arial" w:eastAsia="Arial" w:hAnsi="Arial" w:cs="Arial"/>
          <w:b/>
          <w:bCs/>
          <w:color w:val="7B52AE"/>
          <w:sz w:val="22"/>
          <w:szCs w:val="22"/>
        </w:rPr>
        <w:t>Launch it properly</w:t>
      </w:r>
    </w:p>
    <w:p w14:paraId="543A5AE8" w14:textId="706BEF34" w:rsidR="00B63492" w:rsidRDefault="0026080C">
      <w:pPr>
        <w:spacing w:before="80" w:after="120"/>
      </w:pPr>
      <w:r>
        <w:rPr>
          <w:rFonts w:ascii="Arial" w:eastAsia="Arial" w:hAnsi="Arial" w:cs="Arial"/>
          <w:color w:val="1A1A1A"/>
          <w:sz w:val="21"/>
          <w:szCs w:val="21"/>
        </w:rPr>
        <w:t>Don't just email the policy out. Hold a brief all-hands or team-level session to explain the "why"</w:t>
      </w:r>
      <w:r w:rsidR="0048717F">
        <w:rPr>
          <w:rFonts w:ascii="Arial" w:eastAsia="Arial" w:hAnsi="Arial" w:cs="Arial"/>
          <w:color w:val="1A1A1A"/>
          <w:sz w:val="21"/>
          <w:szCs w:val="21"/>
        </w:rPr>
        <w:t xml:space="preserve">, </w:t>
      </w:r>
      <w:r>
        <w:rPr>
          <w:rFonts w:ascii="Arial" w:eastAsia="Arial" w:hAnsi="Arial" w:cs="Arial"/>
          <w:color w:val="1A1A1A"/>
          <w:sz w:val="21"/>
          <w:szCs w:val="21"/>
        </w:rPr>
        <w:t xml:space="preserve"> what prompted the policy, what it means in practice, and what specifically changes for people day to day. Give real examples relevant to your organisation.</w:t>
      </w:r>
    </w:p>
    <w:p w14:paraId="6ABDF3CB" w14:textId="77777777" w:rsidR="00B63492" w:rsidRDefault="0026080C">
      <w:pPr>
        <w:spacing w:before="200" w:after="80"/>
      </w:pPr>
      <w:r>
        <w:rPr>
          <w:rFonts w:ascii="Arial" w:eastAsia="Arial" w:hAnsi="Arial" w:cs="Arial"/>
          <w:b/>
          <w:bCs/>
          <w:color w:val="7B52AE"/>
          <w:sz w:val="22"/>
          <w:szCs w:val="22"/>
        </w:rPr>
        <w:t>Make it findable</w:t>
      </w:r>
    </w:p>
    <w:p w14:paraId="143E9009" w14:textId="6017AE62" w:rsidR="00B63492" w:rsidRDefault="0026080C">
      <w:pPr>
        <w:spacing w:before="80" w:after="120"/>
      </w:pPr>
      <w:r>
        <w:rPr>
          <w:rFonts w:ascii="Arial" w:eastAsia="Arial" w:hAnsi="Arial" w:cs="Arial"/>
          <w:color w:val="1A1A1A"/>
          <w:sz w:val="21"/>
          <w:szCs w:val="21"/>
        </w:rPr>
        <w:t>Put the policy where people actually look for things</w:t>
      </w:r>
      <w:r w:rsidR="0048717F">
        <w:rPr>
          <w:rFonts w:ascii="Arial" w:eastAsia="Arial" w:hAnsi="Arial" w:cs="Arial"/>
          <w:color w:val="1A1A1A"/>
          <w:sz w:val="21"/>
          <w:szCs w:val="21"/>
        </w:rPr>
        <w:t>,</w:t>
      </w:r>
      <w:r>
        <w:rPr>
          <w:rFonts w:ascii="Arial" w:eastAsia="Arial" w:hAnsi="Arial" w:cs="Arial"/>
          <w:color w:val="1A1A1A"/>
          <w:sz w:val="21"/>
          <w:szCs w:val="21"/>
        </w:rPr>
        <w:t xml:space="preserve"> your intranet home page, your onboarding pack, your IT request process. If someone has to search for it, it doesn't exist.</w:t>
      </w:r>
    </w:p>
    <w:p w14:paraId="0B4CB39F" w14:textId="77777777" w:rsidR="00B63492" w:rsidRDefault="0026080C">
      <w:pPr>
        <w:spacing w:before="200" w:after="80"/>
      </w:pPr>
      <w:r>
        <w:rPr>
          <w:rFonts w:ascii="Arial" w:eastAsia="Arial" w:hAnsi="Arial" w:cs="Arial"/>
          <w:b/>
          <w:bCs/>
          <w:color w:val="7B52AE"/>
          <w:sz w:val="22"/>
          <w:szCs w:val="22"/>
        </w:rPr>
        <w:t>Connect it to real decisions</w:t>
      </w:r>
    </w:p>
    <w:p w14:paraId="189393DC" w14:textId="34B4EFFD" w:rsidR="00B63492" w:rsidRDefault="0026080C">
      <w:pPr>
        <w:spacing w:before="80" w:after="120"/>
      </w:pPr>
      <w:r>
        <w:rPr>
          <w:rFonts w:ascii="Arial" w:eastAsia="Arial" w:hAnsi="Arial" w:cs="Arial"/>
          <w:color w:val="1A1A1A"/>
          <w:sz w:val="21"/>
          <w:szCs w:val="21"/>
        </w:rPr>
        <w:t>The first time someone proposes a new AI tool or asks about using AI for a specific task, route the conversation through the policy. This creates the habit of checking before acting</w:t>
      </w:r>
      <w:r w:rsidR="0048717F">
        <w:rPr>
          <w:rFonts w:ascii="Arial" w:eastAsia="Arial" w:hAnsi="Arial" w:cs="Arial"/>
          <w:color w:val="1A1A1A"/>
          <w:sz w:val="21"/>
          <w:szCs w:val="21"/>
        </w:rPr>
        <w:t>,</w:t>
      </w:r>
      <w:r>
        <w:rPr>
          <w:rFonts w:ascii="Arial" w:eastAsia="Arial" w:hAnsi="Arial" w:cs="Arial"/>
          <w:color w:val="1A1A1A"/>
          <w:sz w:val="21"/>
          <w:szCs w:val="21"/>
        </w:rPr>
        <w:t xml:space="preserve"> which is what governance actually looks like in practice.</w:t>
      </w:r>
    </w:p>
    <w:p w14:paraId="30D64992" w14:textId="77777777" w:rsidR="00B63492" w:rsidRDefault="0026080C">
      <w:pPr>
        <w:spacing w:before="200" w:after="80"/>
      </w:pPr>
      <w:r>
        <w:rPr>
          <w:rFonts w:ascii="Arial" w:eastAsia="Arial" w:hAnsi="Arial" w:cs="Arial"/>
          <w:b/>
          <w:bCs/>
          <w:color w:val="7B52AE"/>
          <w:sz w:val="22"/>
          <w:szCs w:val="22"/>
        </w:rPr>
        <w:t>Update it visibly</w:t>
      </w:r>
    </w:p>
    <w:p w14:paraId="27D12A00" w14:textId="77777777" w:rsidR="00B63492" w:rsidRDefault="0026080C">
      <w:pPr>
        <w:spacing w:before="80" w:after="120"/>
      </w:pPr>
      <w:r>
        <w:rPr>
          <w:rFonts w:ascii="Arial" w:eastAsia="Arial" w:hAnsi="Arial" w:cs="Arial"/>
          <w:color w:val="1A1A1A"/>
          <w:sz w:val="21"/>
          <w:szCs w:val="21"/>
        </w:rPr>
        <w:t>When you review and update the policy, communicate the changes. People pay attention to what changes, not to static documents. Version the policy, date the changes, and flag what's new.</w:t>
      </w:r>
    </w:p>
    <w:p w14:paraId="5AD70976" w14:textId="77777777" w:rsidR="00B63492" w:rsidRDefault="0026080C">
      <w:pPr>
        <w:spacing w:before="200" w:after="80"/>
      </w:pPr>
      <w:r>
        <w:rPr>
          <w:rFonts w:ascii="Arial" w:eastAsia="Arial" w:hAnsi="Arial" w:cs="Arial"/>
          <w:b/>
          <w:bCs/>
          <w:color w:val="7B52AE"/>
          <w:sz w:val="22"/>
          <w:szCs w:val="22"/>
        </w:rPr>
        <w:t>The board sets the tone</w:t>
      </w:r>
    </w:p>
    <w:p w14:paraId="0692C7CA" w14:textId="33344F61" w:rsidR="00B63492" w:rsidRDefault="0026080C">
      <w:pPr>
        <w:spacing w:before="80" w:after="120"/>
      </w:pPr>
      <w:r>
        <w:rPr>
          <w:rFonts w:ascii="Arial" w:eastAsia="Arial" w:hAnsi="Arial" w:cs="Arial"/>
          <w:color w:val="1A1A1A"/>
          <w:sz w:val="21"/>
          <w:szCs w:val="21"/>
        </w:rPr>
        <w:t>If the board approved the policy but directors visibly ignore it themselves, the organisation will follow their behaviour</w:t>
      </w:r>
      <w:r w:rsidR="0048717F">
        <w:rPr>
          <w:rFonts w:ascii="Arial" w:eastAsia="Arial" w:hAnsi="Arial" w:cs="Arial"/>
          <w:color w:val="1A1A1A"/>
          <w:sz w:val="21"/>
          <w:szCs w:val="21"/>
        </w:rPr>
        <w:t xml:space="preserve">, </w:t>
      </w:r>
      <w:r>
        <w:rPr>
          <w:rFonts w:ascii="Arial" w:eastAsia="Arial" w:hAnsi="Arial" w:cs="Arial"/>
          <w:color w:val="1A1A1A"/>
          <w:sz w:val="21"/>
          <w:szCs w:val="21"/>
        </w:rPr>
        <w:t>not the document. When AI investment or adoption comes up at board level, reference the policy. When management proposes a new AI initiative, ask how it maps to the approved classifications. Visible board ownership is what makes the policy real.</w:t>
      </w:r>
    </w:p>
    <w:p w14:paraId="5C4703A0" w14:textId="77777777" w:rsidR="00B63492" w:rsidRDefault="0026080C">
      <w:pPr>
        <w:spacing w:before="200" w:after="80"/>
      </w:pPr>
      <w:r>
        <w:rPr>
          <w:rFonts w:ascii="Arial" w:eastAsia="Arial" w:hAnsi="Arial" w:cs="Arial"/>
          <w:b/>
          <w:bCs/>
          <w:color w:val="7B52AE"/>
          <w:sz w:val="22"/>
          <w:szCs w:val="22"/>
        </w:rPr>
        <w:t>Link to the bigger picture</w:t>
      </w:r>
    </w:p>
    <w:p w14:paraId="2B62E81E" w14:textId="77777777" w:rsidR="00B63492" w:rsidRDefault="0026080C">
      <w:pPr>
        <w:spacing w:before="80" w:after="120"/>
        <w:rPr>
          <w:rFonts w:ascii="Arial" w:eastAsia="Arial" w:hAnsi="Arial" w:cs="Arial"/>
          <w:color w:val="1A1A1A"/>
          <w:sz w:val="21"/>
          <w:szCs w:val="21"/>
        </w:rPr>
      </w:pPr>
      <w:r>
        <w:rPr>
          <w:rFonts w:ascii="Arial" w:eastAsia="Arial" w:hAnsi="Arial" w:cs="Arial"/>
          <w:color w:val="1A1A1A"/>
          <w:sz w:val="21"/>
          <w:szCs w:val="21"/>
        </w:rPr>
        <w:t>Connect this policy to your existing governance framework. It shouldn't feel like a standalone AI thing — it's part of how your organisation manages risk, makes technology decisions, and meets its regulatory obligations.</w:t>
      </w:r>
    </w:p>
    <w:p w14:paraId="0C6F9C52" w14:textId="77777777" w:rsidR="00B63492" w:rsidRDefault="00B63492">
      <w:pPr>
        <w:spacing w:after="2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63492" w14:paraId="5F1F8B54" w14:textId="77777777">
        <w:tc>
          <w:tcPr>
            <w:tcW w:w="9026" w:type="dxa"/>
            <w:tcBorders>
              <w:top w:val="none" w:sz="0" w:space="0" w:color="FFFFFF"/>
              <w:left w:val="none" w:sz="0" w:space="0" w:color="FFFFFF"/>
              <w:bottom w:val="none" w:sz="0" w:space="0" w:color="FFFFFF"/>
              <w:right w:val="none" w:sz="0" w:space="0" w:color="FFFFFF"/>
            </w:tcBorders>
            <w:shd w:val="clear" w:color="auto" w:fill="CDC1F1"/>
            <w:tcMar>
              <w:top w:w="160" w:type="dxa"/>
              <w:left w:w="220" w:type="dxa"/>
              <w:bottom w:w="160" w:type="dxa"/>
              <w:right w:w="220" w:type="dxa"/>
            </w:tcMar>
          </w:tcPr>
          <w:p w14:paraId="30CCABF7" w14:textId="77777777" w:rsidR="00B63492" w:rsidRDefault="0026080C">
            <w:pPr>
              <w:spacing w:after="80"/>
            </w:pPr>
            <w:r>
              <w:rPr>
                <w:rFonts w:ascii="Arial" w:eastAsia="Arial" w:hAnsi="Arial" w:cs="Arial"/>
                <w:b/>
                <w:bCs/>
                <w:color w:val="5B2D8E"/>
              </w:rPr>
              <w:t>Remember</w:t>
            </w:r>
          </w:p>
          <w:p w14:paraId="36EDE2B8" w14:textId="77777777" w:rsidR="00B63492" w:rsidRDefault="0026080C">
            <w:r>
              <w:rPr>
                <w:rFonts w:ascii="Arial" w:eastAsia="Arial" w:hAnsi="Arial" w:cs="Arial"/>
                <w:color w:val="1A1A1A"/>
              </w:rPr>
              <w:t>The board sets the tone. A policy that directors visibly own and reference in meetings will be taken seriously throughout the organisation. One that was approved and forgotten will be ignored.</w:t>
            </w:r>
          </w:p>
        </w:tc>
      </w:tr>
    </w:tbl>
    <w:p w14:paraId="5830F13A" w14:textId="77777777" w:rsidR="00B63492" w:rsidRDefault="00B63492">
      <w:pPr>
        <w:spacing w:after="240"/>
      </w:pPr>
    </w:p>
    <w:p w14:paraId="68A3247F" w14:textId="77777777" w:rsidR="00B63492" w:rsidRPr="0048717F" w:rsidRDefault="0026080C">
      <w:pPr>
        <w:spacing w:before="160"/>
      </w:pPr>
      <w:r w:rsidRPr="0048717F">
        <w:rPr>
          <w:rFonts w:ascii="Arial" w:eastAsia="Arial" w:hAnsi="Arial" w:cs="Arial"/>
          <w:sz w:val="16"/>
          <w:szCs w:val="16"/>
        </w:rPr>
        <w:t>Disclaimer: The AI Governance Toolkit is provided by the Institute of Directors (IoD) Ireland for general informational purposes only. It is intended as a practical guide to support members. The toolkit does not constitute legal, regulatory or professional advice. IoD Ireland accepts no liability for any loss, damage or consequence arising from the use of, or reliance on, this material.</w:t>
      </w:r>
    </w:p>
    <w:sectPr w:rsidR="00B63492" w:rsidRPr="0048717F">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00DB" w14:textId="77777777" w:rsidR="007E09B2" w:rsidRDefault="007E09B2">
      <w:r>
        <w:separator/>
      </w:r>
    </w:p>
  </w:endnote>
  <w:endnote w:type="continuationSeparator" w:id="0">
    <w:p w14:paraId="3E1C06DD" w14:textId="77777777" w:rsidR="007E09B2" w:rsidRDefault="007E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8D91" w14:textId="6A5AEC0F" w:rsidR="00B63492" w:rsidRDefault="0026080C">
    <w:pPr>
      <w:pBdr>
        <w:top w:val="single" w:sz="4" w:space="4" w:color="5B2D8E"/>
      </w:pBdr>
    </w:pPr>
    <w:r>
      <w:rPr>
        <w:rFonts w:ascii="Arial" w:eastAsia="Arial" w:hAnsi="Arial" w:cs="Arial"/>
        <w:color w:val="555555"/>
        <w:sz w:val="16"/>
        <w:szCs w:val="16"/>
      </w:rPr>
      <w:t>Provided by IoD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2B1A6" w14:textId="77777777" w:rsidR="007E09B2" w:rsidRDefault="007E09B2">
      <w:r>
        <w:separator/>
      </w:r>
    </w:p>
  </w:footnote>
  <w:footnote w:type="continuationSeparator" w:id="0">
    <w:p w14:paraId="75D40208" w14:textId="77777777" w:rsidR="007E09B2" w:rsidRDefault="007E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FDA4" w14:textId="523DDF4F" w:rsidR="00B63492" w:rsidRDefault="0026080C">
    <w:pPr>
      <w:pBdr>
        <w:bottom w:val="single" w:sz="4" w:space="4" w:color="5B2D8E"/>
      </w:pBdr>
    </w:pPr>
    <w:r>
      <w:rPr>
        <w:rFonts w:ascii="Arial" w:eastAsia="Arial" w:hAnsi="Arial" w:cs="Arial"/>
        <w:color w:val="555555"/>
        <w:sz w:val="17"/>
        <w:szCs w:val="17"/>
      </w:rPr>
      <w:t xml:space="preserve">IoD AI Governance </w:t>
    </w:r>
    <w:r w:rsidR="0048717F">
      <w:rPr>
        <w:rFonts w:ascii="Arial" w:eastAsia="Arial" w:hAnsi="Arial" w:cs="Arial"/>
        <w:color w:val="555555"/>
        <w:sz w:val="17"/>
        <w:szCs w:val="17"/>
      </w:rPr>
      <w:t>Toolkit · Tool</w:t>
    </w:r>
    <w:r>
      <w:rPr>
        <w:rFonts w:ascii="Arial" w:eastAsia="Arial" w:hAnsi="Arial" w:cs="Arial"/>
        <w:color w:val="555555"/>
        <w:sz w:val="17"/>
        <w:szCs w:val="17"/>
      </w:rPr>
      <w:t xml:space="preserve"> 2.1: AI Use Policy </w:t>
    </w:r>
    <w:r w:rsidR="0048717F">
      <w:rPr>
        <w:rFonts w:ascii="Arial" w:eastAsia="Arial" w:hAnsi="Arial" w:cs="Arial"/>
        <w:color w:val="555555"/>
        <w:sz w:val="17"/>
        <w:szCs w:val="17"/>
      </w:rPr>
      <w:t>Builder · Implementation</w:t>
    </w:r>
    <w:r>
      <w:rPr>
        <w:rFonts w:ascii="Arial" w:eastAsia="Arial" w:hAnsi="Arial" w:cs="Arial"/>
        <w:color w:val="555555"/>
        <w:sz w:val="17"/>
        <w:szCs w:val="17"/>
      </w:rPr>
      <w:t xml:space="preserv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01248"/>
    <w:multiLevelType w:val="hybridMultilevel"/>
    <w:tmpl w:val="09DCB2C0"/>
    <w:lvl w:ilvl="0" w:tplc="FF8C490C">
      <w:start w:val="1"/>
      <w:numFmt w:val="bullet"/>
      <w:lvlText w:val="•"/>
      <w:lvlJc w:val="left"/>
      <w:pPr>
        <w:ind w:left="560" w:hanging="280"/>
      </w:pPr>
    </w:lvl>
    <w:lvl w:ilvl="1" w:tplc="C6E01ABE">
      <w:numFmt w:val="decimal"/>
      <w:lvlText w:val=""/>
      <w:lvlJc w:val="left"/>
    </w:lvl>
    <w:lvl w:ilvl="2" w:tplc="68889B5C">
      <w:numFmt w:val="decimal"/>
      <w:lvlText w:val=""/>
      <w:lvlJc w:val="left"/>
    </w:lvl>
    <w:lvl w:ilvl="3" w:tplc="950A2764">
      <w:numFmt w:val="decimal"/>
      <w:lvlText w:val=""/>
      <w:lvlJc w:val="left"/>
    </w:lvl>
    <w:lvl w:ilvl="4" w:tplc="A76EC844">
      <w:numFmt w:val="decimal"/>
      <w:lvlText w:val=""/>
      <w:lvlJc w:val="left"/>
    </w:lvl>
    <w:lvl w:ilvl="5" w:tplc="7458B7C8">
      <w:numFmt w:val="decimal"/>
      <w:lvlText w:val=""/>
      <w:lvlJc w:val="left"/>
    </w:lvl>
    <w:lvl w:ilvl="6" w:tplc="0F48A588">
      <w:numFmt w:val="decimal"/>
      <w:lvlText w:val=""/>
      <w:lvlJc w:val="left"/>
    </w:lvl>
    <w:lvl w:ilvl="7" w:tplc="F5A67782">
      <w:numFmt w:val="decimal"/>
      <w:lvlText w:val=""/>
      <w:lvlJc w:val="left"/>
    </w:lvl>
    <w:lvl w:ilvl="8" w:tplc="4FC80AA2">
      <w:numFmt w:val="decimal"/>
      <w:lvlText w:val=""/>
      <w:lvlJc w:val="left"/>
    </w:lvl>
  </w:abstractNum>
  <w:abstractNum w:abstractNumId="1" w15:restartNumberingAfterBreak="0">
    <w:nsid w:val="79F03BFC"/>
    <w:multiLevelType w:val="hybridMultilevel"/>
    <w:tmpl w:val="DC8A324E"/>
    <w:lvl w:ilvl="0" w:tplc="57EC7886">
      <w:start w:val="1"/>
      <w:numFmt w:val="bullet"/>
      <w:lvlText w:val="●"/>
      <w:lvlJc w:val="left"/>
      <w:pPr>
        <w:ind w:left="720" w:hanging="360"/>
      </w:pPr>
    </w:lvl>
    <w:lvl w:ilvl="1" w:tplc="10AA88E6">
      <w:start w:val="1"/>
      <w:numFmt w:val="bullet"/>
      <w:lvlText w:val="○"/>
      <w:lvlJc w:val="left"/>
      <w:pPr>
        <w:ind w:left="1440" w:hanging="360"/>
      </w:pPr>
    </w:lvl>
    <w:lvl w:ilvl="2" w:tplc="59DA8142">
      <w:start w:val="1"/>
      <w:numFmt w:val="bullet"/>
      <w:lvlText w:val="■"/>
      <w:lvlJc w:val="left"/>
      <w:pPr>
        <w:ind w:left="2160" w:hanging="360"/>
      </w:pPr>
    </w:lvl>
    <w:lvl w:ilvl="3" w:tplc="2DCEC0EA">
      <w:start w:val="1"/>
      <w:numFmt w:val="bullet"/>
      <w:lvlText w:val="●"/>
      <w:lvlJc w:val="left"/>
      <w:pPr>
        <w:ind w:left="2880" w:hanging="360"/>
      </w:pPr>
    </w:lvl>
    <w:lvl w:ilvl="4" w:tplc="4C140278">
      <w:start w:val="1"/>
      <w:numFmt w:val="bullet"/>
      <w:lvlText w:val="○"/>
      <w:lvlJc w:val="left"/>
      <w:pPr>
        <w:ind w:left="3600" w:hanging="360"/>
      </w:pPr>
    </w:lvl>
    <w:lvl w:ilvl="5" w:tplc="3266BD9E">
      <w:start w:val="1"/>
      <w:numFmt w:val="bullet"/>
      <w:lvlText w:val="■"/>
      <w:lvlJc w:val="left"/>
      <w:pPr>
        <w:ind w:left="4320" w:hanging="360"/>
      </w:pPr>
    </w:lvl>
    <w:lvl w:ilvl="6" w:tplc="E454FAC6">
      <w:start w:val="1"/>
      <w:numFmt w:val="bullet"/>
      <w:lvlText w:val="●"/>
      <w:lvlJc w:val="left"/>
      <w:pPr>
        <w:ind w:left="5040" w:hanging="360"/>
      </w:pPr>
    </w:lvl>
    <w:lvl w:ilvl="7" w:tplc="148A54D8">
      <w:start w:val="1"/>
      <w:numFmt w:val="bullet"/>
      <w:lvlText w:val="●"/>
      <w:lvlJc w:val="left"/>
      <w:pPr>
        <w:ind w:left="5760" w:hanging="360"/>
      </w:pPr>
    </w:lvl>
    <w:lvl w:ilvl="8" w:tplc="367236CE">
      <w:start w:val="1"/>
      <w:numFmt w:val="bullet"/>
      <w:lvlText w:val="●"/>
      <w:lvlJc w:val="left"/>
      <w:pPr>
        <w:ind w:left="6480" w:hanging="360"/>
      </w:pPr>
    </w:lvl>
  </w:abstractNum>
  <w:num w:numId="1" w16cid:durableId="212187270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492"/>
    <w:rsid w:val="0026080C"/>
    <w:rsid w:val="0048717F"/>
    <w:rsid w:val="0069154C"/>
    <w:rsid w:val="007E09B2"/>
    <w:rsid w:val="00B63492"/>
    <w:rsid w:val="00D76410"/>
    <w:rsid w:val="00E556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626C"/>
  <w15:docId w15:val="{7B3D8B6D-F596-4163-84CD-77BD38CE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8717F"/>
    <w:pPr>
      <w:tabs>
        <w:tab w:val="center" w:pos="4513"/>
        <w:tab w:val="right" w:pos="9026"/>
      </w:tabs>
    </w:pPr>
  </w:style>
  <w:style w:type="character" w:customStyle="1" w:styleId="HeaderChar">
    <w:name w:val="Header Char"/>
    <w:basedOn w:val="DefaultParagraphFont"/>
    <w:link w:val="Header"/>
    <w:uiPriority w:val="99"/>
    <w:rsid w:val="0048717F"/>
  </w:style>
  <w:style w:type="paragraph" w:styleId="Footer">
    <w:name w:val="footer"/>
    <w:basedOn w:val="Normal"/>
    <w:link w:val="FooterChar"/>
    <w:uiPriority w:val="99"/>
    <w:unhideWhenUsed/>
    <w:rsid w:val="0048717F"/>
    <w:pPr>
      <w:tabs>
        <w:tab w:val="center" w:pos="4513"/>
        <w:tab w:val="right" w:pos="9026"/>
      </w:tabs>
    </w:pPr>
  </w:style>
  <w:style w:type="character" w:customStyle="1" w:styleId="FooterChar">
    <w:name w:val="Footer Char"/>
    <w:basedOn w:val="DefaultParagraphFont"/>
    <w:link w:val="Footer"/>
    <w:uiPriority w:val="99"/>
    <w:rsid w:val="0048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Geraldine Ellis</cp:lastModifiedBy>
  <cp:revision>2</cp:revision>
  <dcterms:created xsi:type="dcterms:W3CDTF">2026-04-07T14:18:00Z</dcterms:created>
  <dcterms:modified xsi:type="dcterms:W3CDTF">2026-04-07T14:18:00Z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792bc-6405-4a33-b118-a7ed098a106e_Enabled">
    <vt:lpwstr>true</vt:lpwstr>
  </property>
  <property fmtid="{D5CDD505-2E9C-101B-9397-08002B2CF9AE}" pid="3" name="MSIP_Label_5e4792bc-6405-4a33-b118-a7ed098a106e_SetDate">
    <vt:lpwstr>2026-04-01T09:27:07Z</vt:lpwstr>
  </property>
  <property fmtid="{D5CDD505-2E9C-101B-9397-08002B2CF9AE}" pid="4" name="MSIP_Label_5e4792bc-6405-4a33-b118-a7ed098a106e_Method">
    <vt:lpwstr>Privileged</vt:lpwstr>
  </property>
  <property fmtid="{D5CDD505-2E9C-101B-9397-08002B2CF9AE}" pid="5" name="MSIP_Label_5e4792bc-6405-4a33-b118-a7ed098a106e_Name">
    <vt:lpwstr>General Correspondence</vt:lpwstr>
  </property>
  <property fmtid="{D5CDD505-2E9C-101B-9397-08002B2CF9AE}" pid="6" name="MSIP_Label_5e4792bc-6405-4a33-b118-a7ed098a106e_SiteId">
    <vt:lpwstr>c8286187-e1d8-431d-8103-3980a28298b2</vt:lpwstr>
  </property>
  <property fmtid="{D5CDD505-2E9C-101B-9397-08002B2CF9AE}" pid="7" name="MSIP_Label_5e4792bc-6405-4a33-b118-a7ed098a106e_ActionId">
    <vt:lpwstr>c17d01ca-3da3-4796-93fa-191d3463b013</vt:lpwstr>
  </property>
  <property fmtid="{D5CDD505-2E9C-101B-9397-08002B2CF9AE}" pid="8" name="MSIP_Label_5e4792bc-6405-4a33-b118-a7ed098a106e_ContentBits">
    <vt:lpwstr>0</vt:lpwstr>
  </property>
  <property fmtid="{D5CDD505-2E9C-101B-9397-08002B2CF9AE}" pid="9" name="MSIP_Label_5e4792bc-6405-4a33-b118-a7ed098a106e_Tag">
    <vt:lpwstr>10, 0, 1, 1</vt:lpwstr>
  </property>
</Properties>
</file>